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084" w:rsidRDefault="0047766B">
      <w:pPr>
        <w:tabs>
          <w:tab w:val="left" w:pos="2192"/>
        </w:tabs>
        <w:spacing w:before="91"/>
        <w:ind w:left="109"/>
        <w:rPr>
          <w:sz w:val="20"/>
        </w:rPr>
      </w:pPr>
      <w:r>
        <w:rPr>
          <w:sz w:val="19"/>
        </w:rPr>
        <w:t>EDU2TPHAST2.</w:t>
      </w:r>
      <w:r>
        <w:rPr>
          <w:sz w:val="19"/>
        </w:rPr>
        <w:tab/>
      </w:r>
      <w:r>
        <w:rPr>
          <w:sz w:val="20"/>
        </w:rPr>
        <w:t>UNIT PLAN-ANNOTATED TEMPLATESAMPLE</w:t>
      </w:r>
    </w:p>
    <w:p w:rsidR="00C44084" w:rsidRDefault="00C44084">
      <w:pPr>
        <w:spacing w:before="12"/>
        <w:rPr>
          <w:sz w:val="19"/>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38"/>
        <w:gridCol w:w="4963"/>
      </w:tblGrid>
      <w:tr w:rsidR="00C44084">
        <w:trPr>
          <w:trHeight w:val="877"/>
        </w:trPr>
        <w:tc>
          <w:tcPr>
            <w:tcW w:w="14601" w:type="dxa"/>
            <w:gridSpan w:val="2"/>
          </w:tcPr>
          <w:p w:rsidR="00C44084" w:rsidRDefault="0047766B">
            <w:pPr>
              <w:pStyle w:val="TableParagraph"/>
              <w:spacing w:before="1"/>
              <w:rPr>
                <w:sz w:val="24"/>
              </w:rPr>
            </w:pPr>
            <w:r>
              <w:rPr>
                <w:sz w:val="24"/>
              </w:rPr>
              <w:t xml:space="preserve">Please note all text in </w:t>
            </w:r>
            <w:r>
              <w:rPr>
                <w:color w:val="FF0000"/>
                <w:sz w:val="24"/>
              </w:rPr>
              <w:t xml:space="preserve">RED </w:t>
            </w:r>
            <w:r>
              <w:rPr>
                <w:sz w:val="24"/>
              </w:rPr>
              <w:t>is an annotation to help you plan using this template format.</w:t>
            </w:r>
          </w:p>
          <w:p w:rsidR="00C44084" w:rsidRDefault="0047766B">
            <w:pPr>
              <w:pStyle w:val="TableParagraph"/>
              <w:rPr>
                <w:sz w:val="24"/>
              </w:rPr>
            </w:pPr>
            <w:r>
              <w:rPr>
                <w:sz w:val="24"/>
              </w:rPr>
              <w:t>Remember to continually refer to the SLG task description and assessment rubric when planning your submission.</w:t>
            </w:r>
          </w:p>
        </w:tc>
      </w:tr>
      <w:tr w:rsidR="00C44084">
        <w:trPr>
          <w:trHeight w:val="446"/>
        </w:trPr>
        <w:tc>
          <w:tcPr>
            <w:tcW w:w="9638" w:type="dxa"/>
            <w:shd w:val="clear" w:color="auto" w:fill="D6E3BC"/>
          </w:tcPr>
          <w:p w:rsidR="00C44084" w:rsidRDefault="0047766B">
            <w:pPr>
              <w:pStyle w:val="TableParagraph"/>
              <w:spacing w:before="209" w:line="217" w:lineRule="exact"/>
              <w:rPr>
                <w:sz w:val="19"/>
              </w:rPr>
            </w:pPr>
            <w:r>
              <w:rPr>
                <w:w w:val="105"/>
                <w:sz w:val="19"/>
              </w:rPr>
              <w:t>Unit Topic:</w:t>
            </w:r>
          </w:p>
        </w:tc>
        <w:tc>
          <w:tcPr>
            <w:tcW w:w="4963" w:type="dxa"/>
            <w:shd w:val="clear" w:color="auto" w:fill="D6E3BC"/>
          </w:tcPr>
          <w:p w:rsidR="00C44084" w:rsidRDefault="0047766B">
            <w:pPr>
              <w:pStyle w:val="TableParagraph"/>
              <w:tabs>
                <w:tab w:val="left" w:pos="2006"/>
              </w:tabs>
              <w:spacing w:before="1"/>
              <w:rPr>
                <w:sz w:val="24"/>
              </w:rPr>
            </w:pPr>
            <w:r>
              <w:rPr>
                <w:w w:val="105"/>
                <w:sz w:val="19"/>
              </w:rPr>
              <w:t>CurriculumLevel</w:t>
            </w:r>
            <w:r>
              <w:rPr>
                <w:w w:val="105"/>
                <w:sz w:val="19"/>
              </w:rPr>
              <w:tab/>
            </w:r>
            <w:r>
              <w:rPr>
                <w:color w:val="FF0000"/>
                <w:w w:val="105"/>
                <w:sz w:val="24"/>
              </w:rPr>
              <w:t>Levels5/6</w:t>
            </w:r>
          </w:p>
        </w:tc>
      </w:tr>
      <w:tr w:rsidR="00C44084">
        <w:trPr>
          <w:trHeight w:val="1886"/>
        </w:trPr>
        <w:tc>
          <w:tcPr>
            <w:tcW w:w="14601" w:type="dxa"/>
            <w:gridSpan w:val="2"/>
          </w:tcPr>
          <w:p w:rsidR="00C44084" w:rsidRDefault="0047766B">
            <w:pPr>
              <w:pStyle w:val="TableParagraph"/>
              <w:spacing w:before="1"/>
              <w:rPr>
                <w:sz w:val="24"/>
              </w:rPr>
            </w:pPr>
            <w:r>
              <w:rPr>
                <w:w w:val="105"/>
                <w:sz w:val="19"/>
              </w:rPr>
              <w:t xml:space="preserve">HUMANITIES DOMAIN FOCUS </w:t>
            </w:r>
            <w:r>
              <w:rPr>
                <w:color w:val="FF0000"/>
                <w:w w:val="105"/>
                <w:sz w:val="24"/>
              </w:rPr>
              <w:t>GEOGRAPHY</w:t>
            </w:r>
          </w:p>
          <w:p w:rsidR="00C44084" w:rsidRDefault="00C44084">
            <w:pPr>
              <w:pStyle w:val="TableParagraph"/>
              <w:spacing w:before="11"/>
              <w:ind w:left="0"/>
              <w:rPr>
                <w:sz w:val="23"/>
              </w:rPr>
            </w:pPr>
          </w:p>
          <w:p w:rsidR="001859AF" w:rsidRPr="00990244" w:rsidRDefault="001859AF" w:rsidP="001859AF">
            <w:pPr>
              <w:spacing w:line="480" w:lineRule="auto"/>
              <w:ind w:firstLine="720"/>
              <w:contextualSpacing/>
              <w:rPr>
                <w:rFonts w:ascii="Times New Roman" w:hAnsi="Times New Roman" w:cs="Times New Roman"/>
                <w:i/>
                <w:sz w:val="24"/>
                <w:szCs w:val="24"/>
              </w:rPr>
            </w:pPr>
            <w:r w:rsidRPr="00990244">
              <w:rPr>
                <w:rFonts w:ascii="Times New Roman" w:hAnsi="Times New Roman" w:cs="Times New Roman"/>
                <w:i/>
                <w:sz w:val="24"/>
                <w:szCs w:val="24"/>
              </w:rPr>
              <w:t xml:space="preserve">Demonstrated knowledge of curriculum content and processes in the Humanities </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Desired goals of study in this early childhood program include what we wish kids can accomplish or achieve in three other areas: Knowledge, processes, and attitudes or dispositions. Knowledge relates to this body of knowledge representing what we learn about the world. Children’s structure of experience grows and increases at the time, and their tendency to interact and present their education should be recognized and supported. These operations, or process skills, constitute the dynamic element of study and consider such actions as anticipating, observing, classifying, hypothesizing, experimenting, and communicating. Adults should help kids in exercising and using these skills in a variety of activities throughout the time. This can be done by demonstrating the intense interest in children’s observations and predictions and by offering a variety of materials and contexts that receive research.</w:t>
            </w:r>
          </w:p>
          <w:p w:rsidR="001859AF" w:rsidRPr="00990244" w:rsidRDefault="001859AF" w:rsidP="001859A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(Strong, 2018).</w:t>
            </w:r>
            <w:r w:rsidRPr="00990244">
              <w:rPr>
                <w:rFonts w:ascii="Times New Roman" w:hAnsi="Times New Roman" w:cs="Times New Roman"/>
                <w:sz w:val="24"/>
                <w:szCs w:val="24"/>
              </w:rPr>
              <w:t xml:space="preserve"> Set seven knowledge bases for instructors: Subject cognition, broad education knowledge, program knowledge, education subject cognition (PCK ), cognition of learners and their characteristics, knowledge of educational context, and knowledge of educational ends, goals, and values. According to </w:t>
            </w:r>
            <w:r>
              <w:rPr>
                <w:rFonts w:ascii="Times New Roman" w:hAnsi="Times New Roman" w:cs="Times New Roman"/>
                <w:sz w:val="24"/>
                <w:szCs w:val="24"/>
              </w:rPr>
              <w:t>Strong</w:t>
            </w:r>
            <w:r w:rsidRPr="00990244">
              <w:rPr>
                <w:rFonts w:ascii="Times New Roman" w:hAnsi="Times New Roman" w:cs="Times New Roman"/>
                <w:sz w:val="24"/>
                <w:szCs w:val="24"/>
              </w:rPr>
              <w:t xml:space="preserve">, among these knowledge grounds, PCK plays the most crucial part of inefficient education. He reasoned that teachers should create PCK, which is “this primary kind of subject knowledge that embodies the expressions of knowledge most germane to its teachability." </w:t>
            </w:r>
          </w:p>
          <w:p w:rsidR="00C44084" w:rsidRDefault="00C44084" w:rsidP="001859AF">
            <w:pPr>
              <w:pStyle w:val="TableParagraph"/>
              <w:tabs>
                <w:tab w:val="left" w:pos="830"/>
                <w:tab w:val="left" w:pos="831"/>
              </w:tabs>
              <w:rPr>
                <w:sz w:val="20"/>
              </w:rPr>
            </w:pPr>
          </w:p>
        </w:tc>
      </w:tr>
      <w:tr w:rsidR="00C44084">
        <w:trPr>
          <w:trHeight w:val="3710"/>
        </w:trPr>
        <w:tc>
          <w:tcPr>
            <w:tcW w:w="14601" w:type="dxa"/>
            <w:gridSpan w:val="2"/>
          </w:tcPr>
          <w:p w:rsidR="00C44084" w:rsidRDefault="0047766B">
            <w:pPr>
              <w:pStyle w:val="TableParagraph"/>
              <w:spacing w:before="7"/>
              <w:rPr>
                <w:sz w:val="19"/>
              </w:rPr>
            </w:pPr>
            <w:r>
              <w:rPr>
                <w:w w:val="105"/>
                <w:sz w:val="19"/>
              </w:rPr>
              <w:lastRenderedPageBreak/>
              <w:t>Cross Curriculum Links :</w:t>
            </w:r>
          </w:p>
          <w:p w:rsidR="00C44084" w:rsidRDefault="0047766B">
            <w:pPr>
              <w:pStyle w:val="TableParagraph"/>
              <w:spacing w:before="7"/>
              <w:rPr>
                <w:sz w:val="24"/>
              </w:rPr>
            </w:pPr>
            <w:r>
              <w:rPr>
                <w:color w:val="FF0000"/>
                <w:sz w:val="24"/>
              </w:rPr>
              <w:t>History:</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Most research on the relation between teaching and teachers' subject knowledge and education subject knowledge (PCK) in the study has focused on senior high school teachers. PCK is a related concept to MKT; PCK relates to knowledge of teaching progressions related with specific constructs; countries where students are expected to have misconceptions; and illustrations, representations, and explanations that are appropriate for particular concepts. At research on chemistry and medicine instructors, </w:t>
            </w:r>
            <w:r>
              <w:rPr>
                <w:rFonts w:ascii="Times New Roman" w:hAnsi="Times New Roman" w:cs="Times New Roman"/>
                <w:sz w:val="24"/>
                <w:szCs w:val="24"/>
              </w:rPr>
              <w:t>(</w:t>
            </w:r>
            <w:r w:rsidRPr="00990244">
              <w:rPr>
                <w:rFonts w:ascii="Times New Roman" w:hAnsi="Times New Roman" w:cs="Times New Roman"/>
                <w:sz w:val="24"/>
                <w:szCs w:val="24"/>
              </w:rPr>
              <w:t xml:space="preserve">Brophy </w:t>
            </w:r>
            <w:r>
              <w:rPr>
                <w:rFonts w:ascii="Times New Roman" w:hAnsi="Times New Roman" w:cs="Times New Roman"/>
                <w:sz w:val="24"/>
                <w:szCs w:val="24"/>
              </w:rPr>
              <w:t>et al. 2019)</w:t>
            </w:r>
            <w:r w:rsidRPr="00990244">
              <w:rPr>
                <w:rFonts w:ascii="Times New Roman" w:hAnsi="Times New Roman" w:cs="Times New Roman"/>
                <w:sz w:val="24"/>
                <w:szCs w:val="24"/>
              </w:rPr>
              <w:t>.have also documented the association between alterations in teacher cognition and field education.</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We now have two models within which to demonstrate program knowledge categories and coordinate learning activities-the subject-oriented program constructed in the theoretical studies, and this process-oriented program been built in the processes associated with the acquisition and utilization of knowledge, though the latter needs to be expanded to include social processes as well. This subject-oriented way seems to be least fitting to the immediate demands of minority students, but it has this power of practice behind it and services purposes compatible with the requirements of the society at large, and, Therefore, cannot be disregarded. This process-oriented way, in contrast, has more significant potential for the writing of program knowledge to suit different social backgrounds but does not adequately make the knowledge into a common experiential framework where it can be tested</w:t>
            </w:r>
            <w:r>
              <w:rPr>
                <w:rFonts w:ascii="Times New Roman" w:hAnsi="Times New Roman" w:cs="Times New Roman"/>
                <w:sz w:val="24"/>
                <w:szCs w:val="24"/>
              </w:rPr>
              <w:t xml:space="preserve"> against reality and put to use (Schulte, </w:t>
            </w:r>
            <w:r w:rsidRPr="00011B98">
              <w:rPr>
                <w:rFonts w:ascii="Times New Roman" w:hAnsi="Times New Roman" w:cs="Times New Roman"/>
                <w:sz w:val="24"/>
                <w:szCs w:val="24"/>
              </w:rPr>
              <w:t>2017). </w:t>
            </w:r>
          </w:p>
          <w:p w:rsidR="00C44084" w:rsidRDefault="0047766B">
            <w:pPr>
              <w:pStyle w:val="TableParagraph"/>
              <w:rPr>
                <w:sz w:val="24"/>
              </w:rPr>
            </w:pPr>
            <w:r>
              <w:rPr>
                <w:color w:val="FF0000"/>
                <w:sz w:val="24"/>
              </w:rPr>
              <w:t>Math:</w:t>
            </w:r>
          </w:p>
          <w:p w:rsidR="00C44084" w:rsidRDefault="00C44084">
            <w:pPr>
              <w:pStyle w:val="TableParagraph"/>
              <w:spacing w:before="6"/>
              <w:ind w:left="0"/>
              <w:rPr>
                <w:sz w:val="24"/>
              </w:rPr>
            </w:pPr>
          </w:p>
          <w:p w:rsidR="00C44084" w:rsidRDefault="0047766B">
            <w:pPr>
              <w:pStyle w:val="TableParagraph"/>
              <w:rPr>
                <w:sz w:val="19"/>
              </w:rPr>
            </w:pPr>
            <w:r>
              <w:rPr>
                <w:w w:val="105"/>
                <w:sz w:val="19"/>
              </w:rPr>
              <w:t>General Capabilities:</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From the Abstract: The article presents the initial attempt towards developing the theory for writing a useful literature review. The target audience for this model are novice IS investigators or other researchers who are always fighting with the development of the efficient literature-based education for the proposed research. The proposed model is the systematic information process approach consisted of three significant levels: (1) inputs (literature gathering and testing); (2) process (Blooms Taxonomy); and (3) outputs (writing the review). This article offers the explanation for </w:t>
            </w:r>
            <w:r w:rsidRPr="00990244">
              <w:rPr>
                <w:rFonts w:ascii="Times New Roman" w:hAnsi="Times New Roman" w:cs="Times New Roman"/>
                <w:sz w:val="24"/>
                <w:szCs w:val="24"/>
              </w:rPr>
              <w:lastRenderedPageBreak/>
              <w:t>developing a useful literature review and addresses the center stage: Processing the writing. This article concludes by providing arguments for the value of the effective literature review, too as implications for future study in the proposed model.</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Education theory the education model for the literature-based part of the study reported here was worked by </w:t>
            </w:r>
            <w:r>
              <w:rPr>
                <w:rFonts w:ascii="Times New Roman" w:hAnsi="Times New Roman" w:cs="Times New Roman"/>
                <w:sz w:val="24"/>
                <w:szCs w:val="24"/>
              </w:rPr>
              <w:t>(</w:t>
            </w:r>
            <w:r w:rsidRPr="00011B98">
              <w:rPr>
                <w:rFonts w:ascii="Times New Roman" w:hAnsi="Times New Roman" w:cs="Times New Roman"/>
                <w:sz w:val="24"/>
                <w:szCs w:val="24"/>
              </w:rPr>
              <w:t>Far</w:t>
            </w:r>
            <w:r>
              <w:rPr>
                <w:rFonts w:ascii="Times New Roman" w:hAnsi="Times New Roman" w:cs="Times New Roman"/>
                <w:sz w:val="24"/>
                <w:szCs w:val="24"/>
              </w:rPr>
              <w:t xml:space="preserve">ris, P &amp; Werderich, </w:t>
            </w:r>
            <w:r w:rsidRPr="00011B98">
              <w:rPr>
                <w:rFonts w:ascii="Times New Roman" w:hAnsi="Times New Roman" w:cs="Times New Roman"/>
                <w:sz w:val="24"/>
                <w:szCs w:val="24"/>
              </w:rPr>
              <w:t>2019</w:t>
            </w:r>
            <w:r>
              <w:rPr>
                <w:rFonts w:ascii="Times New Roman" w:hAnsi="Times New Roman" w:cs="Times New Roman"/>
                <w:sz w:val="24"/>
                <w:szCs w:val="24"/>
              </w:rPr>
              <w:t xml:space="preserve">) </w:t>
            </w:r>
            <w:r w:rsidRPr="00990244">
              <w:rPr>
                <w:rFonts w:ascii="Times New Roman" w:hAnsi="Times New Roman" w:cs="Times New Roman"/>
                <w:sz w:val="24"/>
                <w:szCs w:val="24"/>
              </w:rPr>
              <w:t xml:space="preserve">at which they presented the critique of research and professional literature on critical literacy pedagogy. They synthesized this related writing into the following dimensions for producing important education: 1) disrupting this commonplace, 2) interrogating multiple viewpoints, 3) concentrating on sociopolitical matters, and 4) taking action and promoting social justice. Disrupting the commonplace is depicted as seeing ordinary, everyday results through a new lens. </w:t>
            </w:r>
          </w:p>
          <w:p w:rsidR="00C44084" w:rsidRDefault="00C44084">
            <w:pPr>
              <w:pStyle w:val="TableParagraph"/>
              <w:ind w:right="129"/>
              <w:rPr>
                <w:sz w:val="20"/>
              </w:rPr>
            </w:pPr>
          </w:p>
        </w:tc>
      </w:tr>
      <w:tr w:rsidR="00C44084">
        <w:trPr>
          <w:trHeight w:val="1953"/>
        </w:trPr>
        <w:tc>
          <w:tcPr>
            <w:tcW w:w="14601" w:type="dxa"/>
            <w:gridSpan w:val="2"/>
          </w:tcPr>
          <w:p w:rsidR="00C44084" w:rsidRDefault="0047766B">
            <w:pPr>
              <w:pStyle w:val="TableParagraph"/>
              <w:spacing w:before="7"/>
              <w:rPr>
                <w:sz w:val="19"/>
              </w:rPr>
            </w:pPr>
            <w:r>
              <w:rPr>
                <w:w w:val="105"/>
                <w:sz w:val="19"/>
              </w:rPr>
              <w:lastRenderedPageBreak/>
              <w:t>RATIONALE:</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The production from stage 1 of the assessment process and the explanation for the program field, research, and other general and global comparators are the starting points. The study can be from the crucial components of the program Frameworks: For kids 3 – 5, 5 – 14 guidelines, Standard level, and individual Qualifications. It is crucial the education and outcome statements you make in each program for quality level give proper cognitive demand. The model for effects that experiences and consequences can go within the </w:t>
            </w:r>
            <w:r>
              <w:rPr>
                <w:rFonts w:ascii="Times New Roman" w:hAnsi="Times New Roman" w:cs="Times New Roman"/>
                <w:sz w:val="24"/>
                <w:szCs w:val="24"/>
              </w:rPr>
              <w:t xml:space="preserve">framework of advice to teachers (Reimers, &amp; Chung, </w:t>
            </w:r>
            <w:r w:rsidRPr="00990244">
              <w:rPr>
                <w:rFonts w:ascii="Times New Roman" w:hAnsi="Times New Roman" w:cs="Times New Roman"/>
                <w:sz w:val="24"/>
                <w:szCs w:val="24"/>
              </w:rPr>
              <w:t>2019). </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Theoretical Framework According to this research writing, effective implementation of reflection should include specific features associated with timing, information, environment, and supporting strategies used by educators. Using many conclusions from the writing and our analysis of CAS programs in Turkey, we developed the framework for examining and improving authentic transformation processes for e</w:t>
            </w:r>
            <w:r>
              <w:rPr>
                <w:rFonts w:ascii="Times New Roman" w:hAnsi="Times New Roman" w:cs="Times New Roman"/>
                <w:sz w:val="24"/>
                <w:szCs w:val="24"/>
              </w:rPr>
              <w:t>mpirical education</w:t>
            </w:r>
            <w:r w:rsidRPr="00990244">
              <w:rPr>
                <w:rFonts w:ascii="Times New Roman" w:hAnsi="Times New Roman" w:cs="Times New Roman"/>
                <w:sz w:val="24"/>
                <w:szCs w:val="24"/>
              </w:rPr>
              <w:t>. We suggest that the model will assist teachers and researchers in supporting and conceptualizing the motivations of students toward the more reliable transformation process.</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lastRenderedPageBreak/>
              <w:t>Technical education content knowledge (TPACK) is the theory to understand and identify the kinds of knowledge required by the teacher for effective education training in the technology-enhanced learning environment. Mishra and Koehler added the application as the modeling component to Lee Shulman's education subject knowledge (PCK) construct. They suggested that addressing subject knowledge, education knowledge, and engineering knowledge concurrently provides the framework for technology integration in the program.</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br w:type="page"/>
            </w:r>
          </w:p>
          <w:p w:rsidR="00C44084" w:rsidRDefault="00C44084">
            <w:pPr>
              <w:pStyle w:val="TableParagraph"/>
              <w:ind w:right="3029"/>
              <w:rPr>
                <w:sz w:val="20"/>
              </w:rPr>
            </w:pPr>
          </w:p>
        </w:tc>
      </w:tr>
      <w:tr w:rsidR="00C44084">
        <w:trPr>
          <w:trHeight w:val="244"/>
        </w:trPr>
        <w:tc>
          <w:tcPr>
            <w:tcW w:w="14601" w:type="dxa"/>
            <w:gridSpan w:val="2"/>
          </w:tcPr>
          <w:p w:rsidR="00C44084" w:rsidRDefault="0047766B">
            <w:pPr>
              <w:pStyle w:val="TableParagraph"/>
              <w:spacing w:before="1" w:line="223" w:lineRule="exact"/>
              <w:rPr>
                <w:sz w:val="20"/>
              </w:rPr>
            </w:pPr>
            <w:r>
              <w:rPr>
                <w:w w:val="105"/>
                <w:sz w:val="19"/>
              </w:rPr>
              <w:lastRenderedPageBreak/>
              <w:t xml:space="preserve">Key Concepts </w:t>
            </w:r>
            <w:r>
              <w:rPr>
                <w:color w:val="FF0000"/>
                <w:w w:val="105"/>
                <w:sz w:val="20"/>
              </w:rPr>
              <w:t>Change, Sustainability</w:t>
            </w:r>
          </w:p>
        </w:tc>
      </w:tr>
    </w:tbl>
    <w:p w:rsidR="00C44084" w:rsidRDefault="00C44084">
      <w:pPr>
        <w:spacing w:line="223" w:lineRule="exact"/>
        <w:rPr>
          <w:sz w:val="20"/>
        </w:rPr>
        <w:sectPr w:rsidR="00C44084">
          <w:footerReference w:type="default" r:id="rId7"/>
          <w:type w:val="continuous"/>
          <w:pgSz w:w="16840" w:h="11900" w:orient="landscape"/>
          <w:pgMar w:top="760" w:right="1260" w:bottom="900" w:left="740" w:header="720" w:footer="706" w:gutter="0"/>
          <w:pgNumType w:start="1"/>
          <w:cols w:space="720"/>
        </w:sect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37"/>
        <w:gridCol w:w="11765"/>
      </w:tblGrid>
      <w:tr w:rsidR="00C44084">
        <w:trPr>
          <w:trHeight w:val="1084"/>
        </w:trPr>
        <w:tc>
          <w:tcPr>
            <w:tcW w:w="14602" w:type="dxa"/>
            <w:gridSpan w:val="2"/>
          </w:tcPr>
          <w:p w:rsidR="00C44084" w:rsidRDefault="0047766B" w:rsidP="001859AF">
            <w:pPr>
              <w:pStyle w:val="TableParagraph"/>
              <w:spacing w:before="179" w:line="415" w:lineRule="auto"/>
              <w:ind w:right="6380"/>
              <w:rPr>
                <w:color w:val="FF0000"/>
                <w:sz w:val="20"/>
              </w:rPr>
            </w:pPr>
            <w:r>
              <w:rPr>
                <w:sz w:val="19"/>
              </w:rPr>
              <w:lastRenderedPageBreak/>
              <w:t xml:space="preserve">Knowledge </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 </w:t>
            </w:r>
            <w:r w:rsidRPr="00990244">
              <w:rPr>
                <w:rFonts w:ascii="Times New Roman" w:hAnsi="Times New Roman" w:cs="Times New Roman"/>
                <w:i/>
                <w:sz w:val="24"/>
                <w:szCs w:val="24"/>
              </w:rPr>
              <w:t>Capacity to plan a logical sequence of lessons underpinned by Inquiry-based pedagogical and assessment strategies</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Teachers design and use lessons from education practices in educational models. They are also needed to oversee and inform student portfolios to recognize and evaluate the various domains of growth. These spheres of growth include cultural, emotional, mental, personal, ethical, and artistic. Education practices are supported by the program philosophy, the goals, and aims of the content, the various student education, and developmental needs, as well as the education job. The procedures involved in the educational organization in the professional's degree are similar to that of the educational building.</w:t>
            </w:r>
          </w:p>
          <w:p w:rsidR="001859AF" w:rsidRDefault="001859AF" w:rsidP="001859AF">
            <w:pPr>
              <w:pStyle w:val="TableParagraph"/>
              <w:spacing w:before="179" w:line="415" w:lineRule="auto"/>
              <w:ind w:right="6380"/>
              <w:rPr>
                <w:sz w:val="20"/>
              </w:rPr>
            </w:pPr>
          </w:p>
        </w:tc>
      </w:tr>
      <w:tr w:rsidR="00C44084">
        <w:trPr>
          <w:trHeight w:val="244"/>
        </w:trPr>
        <w:tc>
          <w:tcPr>
            <w:tcW w:w="14602" w:type="dxa"/>
            <w:gridSpan w:val="2"/>
          </w:tcPr>
          <w:p w:rsidR="00C44084" w:rsidRDefault="0047766B">
            <w:pPr>
              <w:pStyle w:val="TableParagraph"/>
              <w:spacing w:before="1" w:line="223" w:lineRule="exact"/>
              <w:rPr>
                <w:sz w:val="20"/>
              </w:rPr>
            </w:pPr>
            <w:r>
              <w:rPr>
                <w:sz w:val="19"/>
              </w:rPr>
              <w:t xml:space="preserve">Skills </w:t>
            </w:r>
            <w:r>
              <w:rPr>
                <w:color w:val="FF0000"/>
                <w:sz w:val="20"/>
              </w:rPr>
              <w:t>Observing, Questioning, Planning, Interpreting, Analysing Understanding relationships</w:t>
            </w:r>
          </w:p>
        </w:tc>
      </w:tr>
      <w:tr w:rsidR="00C44084">
        <w:trPr>
          <w:trHeight w:val="1833"/>
        </w:trPr>
        <w:tc>
          <w:tcPr>
            <w:tcW w:w="14602" w:type="dxa"/>
            <w:gridSpan w:val="2"/>
          </w:tcPr>
          <w:p w:rsidR="001859AF" w:rsidRDefault="0047766B" w:rsidP="001859AF">
            <w:pPr>
              <w:pStyle w:val="TableParagraph"/>
              <w:spacing w:before="54"/>
              <w:ind w:right="5142"/>
              <w:rPr>
                <w:color w:val="FF0000"/>
                <w:sz w:val="20"/>
              </w:rPr>
            </w:pPr>
            <w:r>
              <w:rPr>
                <w:sz w:val="19"/>
              </w:rPr>
              <w:lastRenderedPageBreak/>
              <w:t xml:space="preserve">Learning Outcomes </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Nevertheless, designing, managing, producing, and monitoring focuses on various students, specifically. Teachers also embrace classroom management strategies; create education approaches that encourage freedom, training, and positive learning mindsets. The instructor's classroom management style determines some aspects of the learning situation. These four styles of room administration include Authoritarian, Authoritative, lenient, and Disengaged. Moreover, teachers use a variety of supportive management and training strategies to focus the student's attention or man</w:t>
            </w:r>
            <w:r>
              <w:rPr>
                <w:rFonts w:ascii="Times New Roman" w:hAnsi="Times New Roman" w:cs="Times New Roman"/>
                <w:sz w:val="24"/>
                <w:szCs w:val="24"/>
              </w:rPr>
              <w:t>age conflicts and disagreements</w:t>
            </w:r>
            <w:r w:rsidRPr="00011B98">
              <w:rPr>
                <w:rFonts w:ascii="Times New Roman" w:hAnsi="Times New Roman" w:cs="Times New Roman"/>
                <w:sz w:val="24"/>
                <w:szCs w:val="24"/>
              </w:rPr>
              <w:t xml:space="preserve"> </w:t>
            </w:r>
            <w:r>
              <w:rPr>
                <w:rFonts w:ascii="Times New Roman" w:hAnsi="Times New Roman" w:cs="Times New Roman"/>
                <w:sz w:val="24"/>
                <w:szCs w:val="24"/>
              </w:rPr>
              <w:t>(</w:t>
            </w:r>
            <w:r w:rsidRPr="00011B98">
              <w:rPr>
                <w:rFonts w:ascii="Times New Roman" w:hAnsi="Times New Roman" w:cs="Times New Roman"/>
                <w:sz w:val="24"/>
                <w:szCs w:val="24"/>
              </w:rPr>
              <w:t>Burbule</w:t>
            </w:r>
            <w:r>
              <w:rPr>
                <w:rFonts w:ascii="Times New Roman" w:hAnsi="Times New Roman" w:cs="Times New Roman"/>
                <w:sz w:val="24"/>
                <w:szCs w:val="24"/>
              </w:rPr>
              <w:t xml:space="preserve">s, </w:t>
            </w:r>
            <w:r w:rsidRPr="00011B98">
              <w:rPr>
                <w:rFonts w:ascii="Times New Roman" w:hAnsi="Times New Roman" w:cs="Times New Roman"/>
                <w:sz w:val="24"/>
                <w:szCs w:val="24"/>
              </w:rPr>
              <w:t>2019). </w:t>
            </w:r>
          </w:p>
          <w:p w:rsidR="001859AF" w:rsidRDefault="001859AF" w:rsidP="001859AF">
            <w:pPr>
              <w:pStyle w:val="TableParagraph"/>
              <w:spacing w:before="54"/>
              <w:ind w:right="5142"/>
              <w:rPr>
                <w:sz w:val="20"/>
              </w:rPr>
            </w:pPr>
          </w:p>
          <w:p w:rsidR="00C44084" w:rsidRDefault="00C44084">
            <w:pPr>
              <w:pStyle w:val="TableParagraph"/>
              <w:spacing w:before="1"/>
              <w:rPr>
                <w:sz w:val="20"/>
              </w:rPr>
            </w:pPr>
          </w:p>
        </w:tc>
      </w:tr>
      <w:tr w:rsidR="00C44084">
        <w:trPr>
          <w:trHeight w:val="244"/>
        </w:trPr>
        <w:tc>
          <w:tcPr>
            <w:tcW w:w="14602" w:type="dxa"/>
            <w:gridSpan w:val="2"/>
            <w:shd w:val="clear" w:color="auto" w:fill="D6E3BC"/>
          </w:tcPr>
          <w:p w:rsidR="00C44084" w:rsidRDefault="0047766B">
            <w:pPr>
              <w:pStyle w:val="TableParagraph"/>
              <w:spacing w:before="7" w:line="217" w:lineRule="exact"/>
              <w:rPr>
                <w:sz w:val="19"/>
              </w:rPr>
            </w:pPr>
            <w:r>
              <w:rPr>
                <w:w w:val="105"/>
                <w:sz w:val="19"/>
              </w:rPr>
              <w:t>Big Picture QUESTION</w:t>
            </w:r>
          </w:p>
        </w:tc>
      </w:tr>
      <w:tr w:rsidR="00C44084">
        <w:trPr>
          <w:trHeight w:val="489"/>
        </w:trPr>
        <w:tc>
          <w:tcPr>
            <w:tcW w:w="14602" w:type="dxa"/>
            <w:gridSpan w:val="2"/>
          </w:tcPr>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The resource is a series of 10 sequenced teaching programs, structured to work as the project-based mini-unit. It's flexible enough that it can be applied in dual subject fields as the primary education resource or as a supplement to the larger part on drug abuse or well-being. This part is concentrated on three central topics: Appropriate usage, abuse and misuse of prescription drugs, with inquiry-based examples, too as project-based examples at which students can improve communication and messaging techniques around the issue – aligned with students ' research findings of the </w:t>
            </w:r>
            <w:r w:rsidRPr="00990244">
              <w:rPr>
                <w:rFonts w:ascii="Times New Roman" w:hAnsi="Times New Roman" w:cs="Times New Roman"/>
                <w:sz w:val="24"/>
                <w:szCs w:val="24"/>
              </w:rPr>
              <w:lastRenderedPageBreak/>
              <w:t>needs in the local community.</w:t>
            </w:r>
          </w:p>
          <w:p w:rsidR="001859AF" w:rsidRPr="00990244" w:rsidRDefault="001859AF" w:rsidP="001859AF">
            <w:pPr>
              <w:spacing w:line="480" w:lineRule="auto"/>
              <w:ind w:firstLine="720"/>
              <w:contextualSpacing/>
              <w:rPr>
                <w:rFonts w:ascii="Times New Roman" w:hAnsi="Times New Roman" w:cs="Times New Roman"/>
                <w:sz w:val="24"/>
                <w:szCs w:val="24"/>
              </w:rPr>
            </w:pP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Inquiry-based education is an instructional philosophy that utilizes specific teaching methods, teaching design, and curricular techniques that can bring student curiosity and business to the forefront of education. In the inquiry-based classroom, teachers’ meaningful action is facilitating learning, rather than presenting knowledge or prescriptively delineating skills. Components of inquiry-based education are infused in all topics in St. Ignatius, but are the primary organizing rule in the study, and help bring to experience the STEAM stress at the school's academic approach. </w:t>
            </w:r>
          </w:p>
          <w:p w:rsidR="001859AF" w:rsidRDefault="001859AF" w:rsidP="001859AF">
            <w:pPr>
              <w:spacing w:line="480" w:lineRule="auto"/>
              <w:ind w:firstLine="720"/>
              <w:contextualSpacing/>
              <w:rPr>
                <w:rFonts w:ascii="Times New Roman" w:hAnsi="Times New Roman" w:cs="Times New Roman"/>
                <w:i/>
                <w:iCs/>
                <w:sz w:val="24"/>
                <w:szCs w:val="24"/>
              </w:rPr>
            </w:pPr>
            <w:r w:rsidRPr="00990244">
              <w:rPr>
                <w:rFonts w:ascii="Times New Roman" w:hAnsi="Times New Roman" w:cs="Times New Roman"/>
                <w:sz w:val="24"/>
                <w:szCs w:val="24"/>
              </w:rPr>
              <w:t>Judgment occurs in an on-going manner when applying inquiry. In inquiry-based Education, the educator evaluates the program expectations from the Health and Physical Education program, integrating the knowledge and the result of the investigation where relevant, usually planning based on the curriculum. At inquiry-based learning, this process of questioning is even as important as the final result. Students see and demonstrate various skills at each of these phases of the investigation process, and it is these skills that will be evaluated when they are specifically related to curriculum expectations</w:t>
            </w:r>
            <w:r>
              <w:rPr>
                <w:rFonts w:ascii="Arial" w:hAnsi="Arial" w:cs="Arial"/>
                <w:color w:val="222222"/>
                <w:sz w:val="16"/>
                <w:szCs w:val="16"/>
                <w:shd w:val="clear" w:color="auto" w:fill="FFFFFF"/>
              </w:rPr>
              <w:t xml:space="preserve"> (</w:t>
            </w:r>
            <w:r>
              <w:rPr>
                <w:rFonts w:ascii="Times New Roman" w:hAnsi="Times New Roman" w:cs="Times New Roman"/>
                <w:sz w:val="24"/>
                <w:szCs w:val="24"/>
              </w:rPr>
              <w:t xml:space="preserve">Bartlett, &amp; Burton, </w:t>
            </w:r>
            <w:r w:rsidRPr="00F65938">
              <w:rPr>
                <w:rFonts w:ascii="Times New Roman" w:hAnsi="Times New Roman" w:cs="Times New Roman"/>
                <w:sz w:val="24"/>
                <w:szCs w:val="24"/>
              </w:rPr>
              <w:t>2016). </w:t>
            </w:r>
          </w:p>
          <w:p w:rsidR="00C44084" w:rsidRDefault="00C44084">
            <w:pPr>
              <w:pStyle w:val="TableParagraph"/>
              <w:spacing w:before="1"/>
              <w:rPr>
                <w:sz w:val="20"/>
              </w:rPr>
            </w:pPr>
          </w:p>
        </w:tc>
      </w:tr>
      <w:tr w:rsidR="00C44084">
        <w:trPr>
          <w:trHeight w:val="244"/>
        </w:trPr>
        <w:tc>
          <w:tcPr>
            <w:tcW w:w="14602" w:type="dxa"/>
            <w:gridSpan w:val="2"/>
            <w:shd w:val="clear" w:color="auto" w:fill="D6E3BC"/>
          </w:tcPr>
          <w:p w:rsidR="00C44084" w:rsidRDefault="0047766B">
            <w:pPr>
              <w:pStyle w:val="TableParagraph"/>
              <w:spacing w:before="7" w:line="217" w:lineRule="exact"/>
              <w:rPr>
                <w:sz w:val="19"/>
              </w:rPr>
            </w:pPr>
            <w:r>
              <w:rPr>
                <w:w w:val="105"/>
                <w:sz w:val="19"/>
              </w:rPr>
              <w:lastRenderedPageBreak/>
              <w:t>KEY FOCUS QUESTIONS</w:t>
            </w:r>
          </w:p>
        </w:tc>
      </w:tr>
      <w:tr w:rsidR="00C44084">
        <w:trPr>
          <w:trHeight w:val="489"/>
        </w:trPr>
        <w:tc>
          <w:tcPr>
            <w:tcW w:w="14602" w:type="dxa"/>
            <w:gridSpan w:val="2"/>
          </w:tcPr>
          <w:p w:rsidR="00C44084" w:rsidRDefault="0047766B" w:rsidP="001859AF">
            <w:pPr>
              <w:pStyle w:val="TableParagraph"/>
              <w:spacing w:before="1"/>
              <w:rPr>
                <w:sz w:val="20"/>
              </w:rPr>
            </w:pPr>
            <w:r>
              <w:rPr>
                <w:sz w:val="20"/>
              </w:rPr>
              <w:t>Eg</w:t>
            </w: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It is defining the framework of the fundamental knowledge, conducting research and investigation, as set previously gives a variety of possibilities for work types and sequences that might </w:t>
            </w:r>
            <w:r>
              <w:rPr>
                <w:rFonts w:ascii="Times New Roman" w:hAnsi="Times New Roman" w:cs="Times New Roman"/>
                <w:sz w:val="24"/>
                <w:szCs w:val="24"/>
              </w:rPr>
              <w:t xml:space="preserve">be integrated into the scenario </w:t>
            </w:r>
            <w:r w:rsidRPr="00990244">
              <w:rPr>
                <w:rFonts w:ascii="Times New Roman" w:hAnsi="Times New Roman" w:cs="Times New Roman"/>
                <w:sz w:val="24"/>
                <w:szCs w:val="24"/>
              </w:rPr>
              <w:t>based assessment of research and inquiry skills. This adaptability of this framework set here is important, given this complicated and multifaceted world of investigation and the necessity for assessment developers to make principled decisions affecting those accomplishments that will be measured in the assessment and the tasks and situations that provide evidence of those skills.</w:t>
            </w:r>
          </w:p>
          <w:p w:rsidR="001859AF" w:rsidRPr="00990244" w:rsidRDefault="001859AF" w:rsidP="001859AF">
            <w:pPr>
              <w:spacing w:line="480" w:lineRule="auto"/>
              <w:ind w:firstLine="720"/>
              <w:contextualSpacing/>
              <w:rPr>
                <w:rFonts w:ascii="Times New Roman" w:hAnsi="Times New Roman" w:cs="Times New Roman"/>
                <w:sz w:val="24"/>
                <w:szCs w:val="24"/>
              </w:rPr>
            </w:pP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Judgment occurs in an on-going manner when applying inquiry. In inquiry-based Education, the educator evaluates the program expectations from the Health and Physical Education program, integrating the knowledge and the result of the investigation where relevant, usually planning based on the curriculum. At inquiry-based learning, this process of questioning is even as important as the final result. Students see and demonstrate various skills at each of these phases of the investigation process, and it is these skills that will be evaluated when they are specifically related to curriculum </w:t>
            </w:r>
            <w:r w:rsidRPr="00990244">
              <w:rPr>
                <w:rFonts w:ascii="Times New Roman" w:hAnsi="Times New Roman" w:cs="Times New Roman"/>
                <w:sz w:val="24"/>
                <w:szCs w:val="24"/>
              </w:rPr>
              <w:lastRenderedPageBreak/>
              <w:t>expectations.</w:t>
            </w:r>
          </w:p>
          <w:p w:rsidR="001859AF" w:rsidRDefault="001859AF" w:rsidP="001859AF">
            <w:pPr>
              <w:pStyle w:val="TableParagraph"/>
              <w:spacing w:before="1"/>
              <w:rPr>
                <w:sz w:val="20"/>
              </w:rPr>
            </w:pPr>
          </w:p>
        </w:tc>
      </w:tr>
      <w:tr w:rsidR="00C44084">
        <w:trPr>
          <w:trHeight w:val="244"/>
        </w:trPr>
        <w:tc>
          <w:tcPr>
            <w:tcW w:w="14602" w:type="dxa"/>
            <w:gridSpan w:val="2"/>
            <w:shd w:val="clear" w:color="auto" w:fill="D6E3BC"/>
          </w:tcPr>
          <w:p w:rsidR="00C44084" w:rsidRDefault="0047766B">
            <w:pPr>
              <w:pStyle w:val="TableParagraph"/>
              <w:spacing w:before="7" w:line="217" w:lineRule="exact"/>
              <w:rPr>
                <w:sz w:val="19"/>
              </w:rPr>
            </w:pPr>
            <w:r>
              <w:rPr>
                <w:w w:val="105"/>
                <w:sz w:val="19"/>
              </w:rPr>
              <w:lastRenderedPageBreak/>
              <w:t>Assessment Techniques and Strategies -overview</w:t>
            </w:r>
          </w:p>
        </w:tc>
      </w:tr>
      <w:tr w:rsidR="00C44084">
        <w:trPr>
          <w:trHeight w:val="1463"/>
        </w:trPr>
        <w:tc>
          <w:tcPr>
            <w:tcW w:w="2837" w:type="dxa"/>
          </w:tcPr>
          <w:p w:rsidR="00C44084" w:rsidRDefault="0047766B">
            <w:pPr>
              <w:pStyle w:val="TableParagraph"/>
              <w:spacing w:line="216" w:lineRule="exact"/>
              <w:rPr>
                <w:sz w:val="18"/>
              </w:rPr>
            </w:pPr>
            <w:r>
              <w:rPr>
                <w:sz w:val="18"/>
              </w:rPr>
              <w:t>Assessment for learning:</w:t>
            </w:r>
          </w:p>
        </w:tc>
        <w:tc>
          <w:tcPr>
            <w:tcW w:w="11765" w:type="dxa"/>
          </w:tcPr>
          <w:p w:rsidR="00C44084" w:rsidRDefault="00C44084">
            <w:pPr>
              <w:pStyle w:val="TableParagraph"/>
              <w:spacing w:before="9"/>
              <w:ind w:left="0"/>
              <w:rPr>
                <w:sz w:val="19"/>
              </w:rPr>
            </w:pPr>
          </w:p>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You can apply the lesson plan for every lesson learned and documented in the edTPA teaching section. These programs should give sufficient detail so that educators scoring the edTPA will decide the series of the lesson targets and teaching tasks and actions, the application for judgment, and a description of what you and the focus learner will be doing during each lesson. If you are learning the group, including working as the co-teacher, make plans for this group teaching, including any accommodations and changes. In this case, consider just those strategies and adaptations t</w:t>
            </w:r>
            <w:r>
              <w:rPr>
                <w:rFonts w:ascii="Times New Roman" w:hAnsi="Times New Roman" w:cs="Times New Roman"/>
                <w:sz w:val="24"/>
                <w:szCs w:val="24"/>
              </w:rPr>
              <w:t>hat use to the focus individual</w:t>
            </w:r>
            <w:r w:rsidRPr="00990244">
              <w:rPr>
                <w:rFonts w:ascii="Times New Roman" w:hAnsi="Times New Roman" w:cs="Times New Roman"/>
                <w:sz w:val="24"/>
                <w:szCs w:val="24"/>
              </w:rPr>
              <w:t xml:space="preserve"> </w:t>
            </w:r>
            <w:r>
              <w:rPr>
                <w:rFonts w:ascii="Times New Roman" w:hAnsi="Times New Roman" w:cs="Times New Roman"/>
                <w:sz w:val="24"/>
                <w:szCs w:val="24"/>
              </w:rPr>
              <w:t xml:space="preserve">(Battistoni, </w:t>
            </w:r>
            <w:r w:rsidRPr="00990244">
              <w:rPr>
                <w:rFonts w:ascii="Times New Roman" w:hAnsi="Times New Roman" w:cs="Times New Roman"/>
                <w:sz w:val="24"/>
                <w:szCs w:val="24"/>
              </w:rPr>
              <w:t>2017). </w:t>
            </w:r>
          </w:p>
          <w:p w:rsidR="00C44084" w:rsidRDefault="00C44084">
            <w:pPr>
              <w:pStyle w:val="TableParagraph"/>
              <w:ind w:left="825"/>
              <w:rPr>
                <w:sz w:val="20"/>
              </w:rPr>
            </w:pPr>
          </w:p>
        </w:tc>
      </w:tr>
      <w:tr w:rsidR="00C44084">
        <w:trPr>
          <w:trHeight w:val="1463"/>
        </w:trPr>
        <w:tc>
          <w:tcPr>
            <w:tcW w:w="2837" w:type="dxa"/>
          </w:tcPr>
          <w:p w:rsidR="00C44084" w:rsidRDefault="0047766B">
            <w:pPr>
              <w:pStyle w:val="TableParagraph"/>
              <w:spacing w:before="1"/>
              <w:rPr>
                <w:sz w:val="18"/>
              </w:rPr>
            </w:pPr>
            <w:r>
              <w:rPr>
                <w:sz w:val="18"/>
              </w:rPr>
              <w:t>Assessment as learning:</w:t>
            </w:r>
          </w:p>
        </w:tc>
        <w:tc>
          <w:tcPr>
            <w:tcW w:w="11765" w:type="dxa"/>
          </w:tcPr>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Inquiry-based education is an instructional philosophy that utilizes specific teaching methods, teaching design, and curricular techniques that can bring student curiosity and business to the forefront of education. In the inquiry-based classroom, teachers' significant action is facilitating learning, rather than presenting knowledge or prescriptively </w:t>
            </w:r>
            <w:r w:rsidRPr="00990244">
              <w:rPr>
                <w:rFonts w:ascii="Times New Roman" w:hAnsi="Times New Roman" w:cs="Times New Roman"/>
                <w:sz w:val="24"/>
                <w:szCs w:val="24"/>
              </w:rPr>
              <w:lastRenderedPageBreak/>
              <w:t>delineating skills. Components of inquiry-based education are infused in all topics in St. Ignatius, but are the primary organizing rule in the study, and help bring to experience the STEAM stress at the school's academic approach.</w:t>
            </w:r>
          </w:p>
          <w:p w:rsidR="001859AF" w:rsidRPr="00990244" w:rsidRDefault="001859AF" w:rsidP="001859AF">
            <w:pPr>
              <w:spacing w:line="480" w:lineRule="auto"/>
              <w:ind w:firstLine="720"/>
              <w:contextualSpacing/>
              <w:rPr>
                <w:rFonts w:ascii="Times New Roman" w:hAnsi="Times New Roman" w:cs="Times New Roman"/>
                <w:sz w:val="24"/>
                <w:szCs w:val="24"/>
              </w:rPr>
            </w:pPr>
          </w:p>
          <w:p w:rsidR="00C44084" w:rsidRDefault="00C44084">
            <w:pPr>
              <w:pStyle w:val="TableParagraph"/>
              <w:ind w:left="0"/>
              <w:rPr>
                <w:rFonts w:ascii="Times New Roman"/>
                <w:sz w:val="20"/>
              </w:rPr>
            </w:pPr>
          </w:p>
        </w:tc>
      </w:tr>
      <w:tr w:rsidR="00C44084">
        <w:trPr>
          <w:trHeight w:val="978"/>
        </w:trPr>
        <w:tc>
          <w:tcPr>
            <w:tcW w:w="2837" w:type="dxa"/>
          </w:tcPr>
          <w:p w:rsidR="00C44084" w:rsidRDefault="0047766B">
            <w:pPr>
              <w:pStyle w:val="TableParagraph"/>
              <w:spacing w:before="1"/>
              <w:rPr>
                <w:sz w:val="18"/>
              </w:rPr>
            </w:pPr>
            <w:r>
              <w:rPr>
                <w:sz w:val="18"/>
              </w:rPr>
              <w:lastRenderedPageBreak/>
              <w:t>Assessment of Learning:</w:t>
            </w:r>
          </w:p>
        </w:tc>
        <w:tc>
          <w:tcPr>
            <w:tcW w:w="11765" w:type="dxa"/>
          </w:tcPr>
          <w:p w:rsidR="001859AF" w:rsidRPr="00990244" w:rsidRDefault="001859AF" w:rsidP="001859AF">
            <w:pPr>
              <w:spacing w:line="480" w:lineRule="auto"/>
              <w:ind w:firstLine="720"/>
              <w:contextualSpacing/>
              <w:rPr>
                <w:rFonts w:ascii="Times New Roman" w:hAnsi="Times New Roman" w:cs="Times New Roman"/>
                <w:sz w:val="24"/>
                <w:szCs w:val="24"/>
              </w:rPr>
            </w:pPr>
            <w:r w:rsidRPr="00990244">
              <w:rPr>
                <w:rFonts w:ascii="Times New Roman" w:hAnsi="Times New Roman" w:cs="Times New Roman"/>
                <w:sz w:val="24"/>
                <w:szCs w:val="24"/>
              </w:rPr>
              <w:t xml:space="preserve">For the purpose of the assessment, two specific parts of the lesson plan and series can be directed. The first would be to see at depth in how the education of all students can be accomplished by applying the constructivist pedagogical knowledge of explicit education. This second part can be conducted at how differentiation will be used within the classroom environment to cater to the </w:t>
            </w:r>
            <w:r>
              <w:rPr>
                <w:rFonts w:ascii="Times New Roman" w:hAnsi="Times New Roman" w:cs="Times New Roman"/>
                <w:sz w:val="24"/>
                <w:szCs w:val="24"/>
              </w:rPr>
              <w:t>academic needs of all students’ e</w:t>
            </w:r>
            <w:r w:rsidRPr="00990244">
              <w:rPr>
                <w:rFonts w:ascii="Times New Roman" w:hAnsi="Times New Roman" w:cs="Times New Roman"/>
                <w:sz w:val="24"/>
                <w:szCs w:val="24"/>
              </w:rPr>
              <w:t>xplicit education.</w:t>
            </w:r>
          </w:p>
          <w:p w:rsidR="00C44084" w:rsidRDefault="00C44084">
            <w:pPr>
              <w:pStyle w:val="TableParagraph"/>
              <w:ind w:left="0"/>
              <w:rPr>
                <w:rFonts w:ascii="Times New Roman"/>
                <w:sz w:val="20"/>
              </w:rPr>
            </w:pPr>
          </w:p>
        </w:tc>
      </w:tr>
    </w:tbl>
    <w:p w:rsidR="00C44084" w:rsidRDefault="00C44084">
      <w:pPr>
        <w:rPr>
          <w:sz w:val="18"/>
        </w:rPr>
      </w:pPr>
    </w:p>
    <w:p w:rsidR="0009379A" w:rsidRPr="0009379A" w:rsidRDefault="0009379A" w:rsidP="0009379A">
      <w:pPr>
        <w:rPr>
          <w:rFonts w:ascii="Times New Roman"/>
          <w:sz w:val="20"/>
        </w:rPr>
      </w:pPr>
    </w:p>
    <w:p w:rsidR="0009379A" w:rsidRPr="0009379A" w:rsidRDefault="0009379A" w:rsidP="0009379A">
      <w:pPr>
        <w:rPr>
          <w:rFonts w:ascii="Times New Roman"/>
          <w:sz w:val="20"/>
        </w:rPr>
      </w:pPr>
    </w:p>
    <w:p w:rsidR="0009379A" w:rsidRDefault="0009379A" w:rsidP="0009379A">
      <w:pPr>
        <w:tabs>
          <w:tab w:val="left" w:pos="2815"/>
        </w:tabs>
        <w:rPr>
          <w:sz w:val="18"/>
        </w:rPr>
      </w:pPr>
      <w:r>
        <w:rPr>
          <w:sz w:val="18"/>
        </w:rPr>
        <w:tab/>
      </w:r>
    </w:p>
    <w:p w:rsidR="0009379A" w:rsidRDefault="0009379A" w:rsidP="0009379A">
      <w:pPr>
        <w:tabs>
          <w:tab w:val="left" w:pos="2815"/>
        </w:tabs>
        <w:rPr>
          <w:sz w:val="18"/>
        </w:rPr>
      </w:pPr>
    </w:p>
    <w:p w:rsidR="0009379A" w:rsidRDefault="0009379A" w:rsidP="0009379A">
      <w:pPr>
        <w:tabs>
          <w:tab w:val="left" w:pos="2815"/>
        </w:tabs>
        <w:rPr>
          <w:sz w:val="18"/>
        </w:rPr>
      </w:pPr>
    </w:p>
    <w:p w:rsidR="0009379A" w:rsidRPr="0009379A" w:rsidRDefault="0009379A" w:rsidP="0009379A">
      <w:pPr>
        <w:tabs>
          <w:tab w:val="left" w:pos="2815"/>
        </w:tabs>
        <w:rPr>
          <w:rFonts w:ascii="Times New Roman"/>
          <w:sz w:val="20"/>
        </w:rPr>
      </w:pPr>
      <w:r>
        <w:rPr>
          <w:rFonts w:ascii="Times New Roman"/>
          <w:sz w:val="20"/>
        </w:rPr>
        <w:tab/>
      </w:r>
    </w:p>
    <w:tbl>
      <w:tblPr>
        <w:tblStyle w:val="TableGrid"/>
        <w:tblW w:w="15281" w:type="dxa"/>
        <w:tblInd w:w="-572" w:type="dxa"/>
        <w:tblLayout w:type="fixed"/>
        <w:tblLook w:val="04A0"/>
      </w:tblPr>
      <w:tblGrid>
        <w:gridCol w:w="1985"/>
        <w:gridCol w:w="3542"/>
        <w:gridCol w:w="4963"/>
        <w:gridCol w:w="2218"/>
        <w:gridCol w:w="2573"/>
      </w:tblGrid>
      <w:tr w:rsidR="0009379A" w:rsidRPr="005C1F46" w:rsidTr="00E37751">
        <w:tc>
          <w:tcPr>
            <w:tcW w:w="15281" w:type="dxa"/>
            <w:gridSpan w:val="5"/>
            <w:shd w:val="clear" w:color="auto" w:fill="D6E3BC" w:themeFill="accent3" w:themeFillTint="66"/>
          </w:tcPr>
          <w:p w:rsidR="0009379A" w:rsidRPr="005C1F46" w:rsidRDefault="0009379A" w:rsidP="00E37751">
            <w:pPr>
              <w:jc w:val="center"/>
              <w:rPr>
                <w:b/>
                <w:sz w:val="20"/>
                <w:szCs w:val="20"/>
              </w:rPr>
            </w:pPr>
            <w:r w:rsidRPr="005C1F46">
              <w:rPr>
                <w:b/>
                <w:sz w:val="20"/>
                <w:szCs w:val="20"/>
              </w:rPr>
              <w:t>Unit Plan</w:t>
            </w:r>
          </w:p>
        </w:tc>
      </w:tr>
      <w:tr w:rsidR="0009379A" w:rsidRPr="005C1F46" w:rsidTr="00E37751">
        <w:tc>
          <w:tcPr>
            <w:tcW w:w="1985" w:type="dxa"/>
            <w:shd w:val="clear" w:color="auto" w:fill="D6E3BC" w:themeFill="accent3" w:themeFillTint="66"/>
          </w:tcPr>
          <w:p w:rsidR="0009379A" w:rsidRPr="005C1F46" w:rsidRDefault="0009379A" w:rsidP="00E37751">
            <w:pPr>
              <w:rPr>
                <w:b/>
                <w:sz w:val="18"/>
                <w:szCs w:val="18"/>
              </w:rPr>
            </w:pPr>
            <w:r w:rsidRPr="005C1F46">
              <w:rPr>
                <w:b/>
                <w:sz w:val="18"/>
                <w:szCs w:val="18"/>
              </w:rPr>
              <w:t>Teaching Sequence</w:t>
            </w:r>
          </w:p>
        </w:tc>
        <w:tc>
          <w:tcPr>
            <w:tcW w:w="3542" w:type="dxa"/>
            <w:shd w:val="clear" w:color="auto" w:fill="D6E3BC" w:themeFill="accent3" w:themeFillTint="66"/>
          </w:tcPr>
          <w:p w:rsidR="0009379A" w:rsidRPr="005C1F46" w:rsidRDefault="0009379A" w:rsidP="00E37751">
            <w:pPr>
              <w:rPr>
                <w:b/>
                <w:sz w:val="18"/>
                <w:szCs w:val="18"/>
              </w:rPr>
            </w:pPr>
            <w:r w:rsidRPr="005C1F46">
              <w:rPr>
                <w:b/>
                <w:sz w:val="18"/>
                <w:szCs w:val="18"/>
              </w:rPr>
              <w:t>Learning Outcomes</w:t>
            </w:r>
          </w:p>
        </w:tc>
        <w:tc>
          <w:tcPr>
            <w:tcW w:w="4963" w:type="dxa"/>
            <w:shd w:val="clear" w:color="auto" w:fill="D6E3BC" w:themeFill="accent3" w:themeFillTint="66"/>
          </w:tcPr>
          <w:p w:rsidR="0009379A" w:rsidRPr="005C1F46" w:rsidRDefault="0009379A" w:rsidP="00E37751">
            <w:pPr>
              <w:rPr>
                <w:b/>
                <w:sz w:val="18"/>
                <w:szCs w:val="18"/>
              </w:rPr>
            </w:pPr>
            <w:r w:rsidRPr="005C1F46">
              <w:rPr>
                <w:b/>
                <w:sz w:val="18"/>
                <w:szCs w:val="18"/>
              </w:rPr>
              <w:t>Teaching / Learning Strategies</w:t>
            </w:r>
          </w:p>
        </w:tc>
        <w:tc>
          <w:tcPr>
            <w:tcW w:w="2218" w:type="dxa"/>
            <w:shd w:val="clear" w:color="auto" w:fill="D6E3BC" w:themeFill="accent3" w:themeFillTint="66"/>
          </w:tcPr>
          <w:p w:rsidR="0009379A" w:rsidRPr="005C1F46" w:rsidRDefault="0009379A" w:rsidP="00E37751">
            <w:pPr>
              <w:rPr>
                <w:b/>
                <w:sz w:val="18"/>
                <w:szCs w:val="18"/>
              </w:rPr>
            </w:pPr>
            <w:r w:rsidRPr="005C1F46">
              <w:rPr>
                <w:b/>
                <w:sz w:val="18"/>
                <w:szCs w:val="18"/>
              </w:rPr>
              <w:t>Assessment Focus</w:t>
            </w:r>
          </w:p>
        </w:tc>
        <w:tc>
          <w:tcPr>
            <w:tcW w:w="2573" w:type="dxa"/>
            <w:shd w:val="clear" w:color="auto" w:fill="D6E3BC" w:themeFill="accent3" w:themeFillTint="66"/>
          </w:tcPr>
          <w:p w:rsidR="0009379A" w:rsidRPr="005C1F46" w:rsidRDefault="0009379A" w:rsidP="00E37751">
            <w:pPr>
              <w:rPr>
                <w:b/>
                <w:sz w:val="18"/>
                <w:szCs w:val="18"/>
              </w:rPr>
            </w:pPr>
            <w:r w:rsidRPr="005C1F46">
              <w:rPr>
                <w:b/>
                <w:sz w:val="18"/>
                <w:szCs w:val="18"/>
              </w:rPr>
              <w:t>Teacher Resources</w:t>
            </w:r>
          </w:p>
        </w:tc>
      </w:tr>
      <w:tr w:rsidR="0009379A" w:rsidRPr="005C1F46" w:rsidTr="00E37751">
        <w:trPr>
          <w:trHeight w:val="377"/>
        </w:trPr>
        <w:tc>
          <w:tcPr>
            <w:tcW w:w="1985" w:type="dxa"/>
            <w:vMerge w:val="restart"/>
          </w:tcPr>
          <w:p w:rsidR="0009379A" w:rsidRPr="005C1F46" w:rsidRDefault="0009379A" w:rsidP="00E37751">
            <w:pPr>
              <w:rPr>
                <w:sz w:val="18"/>
                <w:szCs w:val="18"/>
              </w:rPr>
            </w:pPr>
          </w:p>
          <w:p w:rsidR="0009379A" w:rsidRPr="005C1F46" w:rsidRDefault="0009379A" w:rsidP="00E37751">
            <w:pPr>
              <w:rPr>
                <w:sz w:val="18"/>
                <w:szCs w:val="18"/>
              </w:rPr>
            </w:pPr>
            <w:r w:rsidRPr="005C1F46">
              <w:rPr>
                <w:sz w:val="18"/>
                <w:szCs w:val="18"/>
              </w:rPr>
              <w:t>SESSION 1</w:t>
            </w:r>
          </w:p>
          <w:p w:rsidR="0009379A" w:rsidRPr="005C1F46" w:rsidRDefault="0009379A" w:rsidP="00E37751">
            <w:pPr>
              <w:rPr>
                <w:sz w:val="18"/>
                <w:szCs w:val="18"/>
              </w:rPr>
            </w:pPr>
          </w:p>
          <w:p w:rsidR="0009379A" w:rsidRPr="005C1F46" w:rsidRDefault="0009379A" w:rsidP="00E37751">
            <w:pPr>
              <w:rPr>
                <w:sz w:val="18"/>
                <w:szCs w:val="18"/>
              </w:rPr>
            </w:pPr>
          </w:p>
          <w:p w:rsidR="0009379A" w:rsidRPr="005C1F46" w:rsidRDefault="0009379A" w:rsidP="00E37751">
            <w:pPr>
              <w:rPr>
                <w:sz w:val="18"/>
                <w:szCs w:val="18"/>
              </w:rPr>
            </w:pPr>
          </w:p>
        </w:tc>
        <w:tc>
          <w:tcPr>
            <w:tcW w:w="3542" w:type="dxa"/>
            <w:vMerge w:val="restart"/>
          </w:tcPr>
          <w:p w:rsidR="001859AF" w:rsidRPr="00990244" w:rsidRDefault="001859AF" w:rsidP="001859AF">
            <w:pPr>
              <w:spacing w:line="480" w:lineRule="auto"/>
              <w:ind w:firstLine="720"/>
              <w:contextualSpacing/>
              <w:rPr>
                <w:rFonts w:ascii="Times New Roman" w:hAnsi="Times New Roman" w:cs="Times New Roman"/>
              </w:rPr>
            </w:pPr>
            <w:r w:rsidRPr="00990244">
              <w:rPr>
                <w:rFonts w:ascii="Times New Roman" w:hAnsi="Times New Roman" w:cs="Times New Roman"/>
              </w:rPr>
              <w:t>When designing appraisal chances applying the inquiry-based teaching way, educators should take these following constructs fro</w:t>
            </w:r>
            <w:r>
              <w:rPr>
                <w:rFonts w:ascii="Times New Roman" w:hAnsi="Times New Roman" w:cs="Times New Roman"/>
              </w:rPr>
              <w:t>m developing individual</w:t>
            </w:r>
            <w:r w:rsidRPr="00990244">
              <w:rPr>
                <w:rFonts w:ascii="Times New Roman" w:hAnsi="Times New Roman" w:cs="Times New Roman"/>
              </w:rPr>
              <w:t xml:space="preserve"> preparation: Judgment should be planned at the same time as instruction, and it sho</w:t>
            </w:r>
            <w:r>
              <w:rPr>
                <w:rFonts w:ascii="Times New Roman" w:hAnsi="Times New Roman" w:cs="Times New Roman"/>
              </w:rPr>
              <w:t>uld be integrated seamlessly</w:t>
            </w:r>
            <w:r w:rsidRPr="00990244">
              <w:rPr>
                <w:rFonts w:ascii="Times New Roman" w:hAnsi="Times New Roman" w:cs="Times New Roman"/>
              </w:rPr>
              <w:t xml:space="preserve"> criteria: Established criteria for assessment and evaluation should be shared </w:t>
            </w:r>
            <w:r w:rsidRPr="00990244">
              <w:rPr>
                <w:rFonts w:ascii="Times New Roman" w:hAnsi="Times New Roman" w:cs="Times New Roman"/>
              </w:rPr>
              <w:lastRenderedPageBreak/>
              <w:t xml:space="preserve">with students or co-constructed with students prior to learning. Students' job should be cited for classification and evaluation purposes to established standards, rather than by comparing with the job done by different students. </w:t>
            </w:r>
          </w:p>
          <w:p w:rsidR="0009379A" w:rsidRPr="0009379A" w:rsidRDefault="0009379A" w:rsidP="00E37751">
            <w:pPr>
              <w:pStyle w:val="ListParagraph"/>
              <w:ind w:left="139"/>
              <w:rPr>
                <w:color w:val="FF0000"/>
                <w:sz w:val="20"/>
                <w:szCs w:val="20"/>
              </w:rPr>
            </w:pPr>
          </w:p>
        </w:tc>
        <w:tc>
          <w:tcPr>
            <w:tcW w:w="4963" w:type="dxa"/>
          </w:tcPr>
          <w:p w:rsidR="001859AF" w:rsidRPr="00990244" w:rsidRDefault="001859AF" w:rsidP="001859AF">
            <w:pPr>
              <w:spacing w:line="480" w:lineRule="auto"/>
              <w:ind w:firstLine="720"/>
              <w:contextualSpacing/>
              <w:rPr>
                <w:rFonts w:ascii="Times New Roman" w:hAnsi="Times New Roman" w:cs="Times New Roman"/>
              </w:rPr>
            </w:pPr>
            <w:r w:rsidRPr="00990244">
              <w:rPr>
                <w:rFonts w:ascii="Times New Roman" w:hAnsi="Times New Roman" w:cs="Times New Roman"/>
              </w:rPr>
              <w:lastRenderedPageBreak/>
              <w:t>Broadly, the requirements for edTPA include multiple intimate assessments across examples, classification of students ’ prior learning to be the teaching series, appraisal of student sound, and the formal assessment summarizing student learning of the lesson sequence. Additionally, this formal assessment should include the evaluation criteria, though brief assessment measures would be demonstrated for each classification included in this portfolio.</w:t>
            </w:r>
          </w:p>
          <w:p w:rsidR="0009379A" w:rsidRDefault="0009379A" w:rsidP="00E37751">
            <w:pPr>
              <w:pStyle w:val="ListParagraph"/>
              <w:ind w:left="139"/>
              <w:rPr>
                <w:sz w:val="20"/>
                <w:szCs w:val="20"/>
              </w:rPr>
            </w:pPr>
          </w:p>
          <w:p w:rsidR="0009379A" w:rsidRPr="005C1F46" w:rsidRDefault="0009379A" w:rsidP="00E37751">
            <w:pPr>
              <w:pStyle w:val="ListParagraph"/>
              <w:ind w:left="139"/>
              <w:rPr>
                <w:sz w:val="20"/>
                <w:szCs w:val="20"/>
              </w:rPr>
            </w:pPr>
          </w:p>
        </w:tc>
        <w:tc>
          <w:tcPr>
            <w:tcW w:w="2218" w:type="dxa"/>
            <w:vMerge w:val="restart"/>
          </w:tcPr>
          <w:p w:rsidR="001859AF" w:rsidRPr="0009379A" w:rsidRDefault="001859AF" w:rsidP="001859AF">
            <w:pPr>
              <w:ind w:left="360"/>
              <w:rPr>
                <w:color w:val="FF0000"/>
                <w:sz w:val="20"/>
                <w:szCs w:val="20"/>
              </w:rPr>
            </w:pPr>
          </w:p>
          <w:p w:rsidR="001859AF" w:rsidRPr="00990244" w:rsidRDefault="001859AF" w:rsidP="001859AF">
            <w:pPr>
              <w:spacing w:line="480" w:lineRule="auto"/>
              <w:ind w:firstLine="720"/>
              <w:contextualSpacing/>
              <w:rPr>
                <w:rFonts w:ascii="Times New Roman" w:hAnsi="Times New Roman" w:cs="Times New Roman"/>
              </w:rPr>
            </w:pPr>
            <w:r w:rsidRPr="00990244">
              <w:rPr>
                <w:rFonts w:ascii="Times New Roman" w:hAnsi="Times New Roman" w:cs="Times New Roman"/>
              </w:rPr>
              <w:t>As said within the NETs value for digital citizenship, students are required to `` propose and learn safe, legitimate and accountable use of knowledge and engineering '' (</w:t>
            </w:r>
            <w:r w:rsidRPr="00F65938">
              <w:rPr>
                <w:rFonts w:ascii="Times New Roman" w:hAnsi="Times New Roman" w:cs="Times New Roman"/>
              </w:rPr>
              <w:t>Gar</w:t>
            </w:r>
            <w:r>
              <w:rPr>
                <w:rFonts w:ascii="Times New Roman" w:hAnsi="Times New Roman" w:cs="Times New Roman"/>
              </w:rPr>
              <w:t xml:space="preserve">ston, &amp; </w:t>
            </w:r>
            <w:r>
              <w:rPr>
                <w:rFonts w:ascii="Times New Roman" w:hAnsi="Times New Roman" w:cs="Times New Roman"/>
              </w:rPr>
              <w:lastRenderedPageBreak/>
              <w:t xml:space="preserve">Wellman, </w:t>
            </w:r>
            <w:r w:rsidRPr="00F65938">
              <w:rPr>
                <w:rFonts w:ascii="Times New Roman" w:hAnsi="Times New Roman" w:cs="Times New Roman"/>
              </w:rPr>
              <w:t>2016). </w:t>
            </w:r>
            <w:r w:rsidRPr="00990244">
              <w:rPr>
                <w:rFonts w:ascii="Times New Roman" w:hAnsi="Times New Roman" w:cs="Times New Roman"/>
              </w:rPr>
              <w:t xml:space="preserve"> Digital rights and duties call the element of the value. Parents and educators want to get together, use free resources, and make opportunities for our students that encourage good, </w:t>
            </w:r>
            <w:r w:rsidRPr="00990244">
              <w:rPr>
                <w:rFonts w:ascii="Times New Roman" w:hAnsi="Times New Roman" w:cs="Times New Roman"/>
              </w:rPr>
              <w:lastRenderedPageBreak/>
              <w:t xml:space="preserve">legitimate, and responsible use of technology. With access to so many other sites, it is really easy to abuse technology. </w:t>
            </w:r>
          </w:p>
          <w:p w:rsidR="0009379A" w:rsidRPr="0009379A" w:rsidRDefault="0009379A" w:rsidP="0009379A">
            <w:pPr>
              <w:ind w:left="360"/>
              <w:rPr>
                <w:color w:val="FF0000"/>
                <w:sz w:val="20"/>
                <w:szCs w:val="20"/>
              </w:rPr>
            </w:pPr>
          </w:p>
        </w:tc>
        <w:tc>
          <w:tcPr>
            <w:tcW w:w="2573" w:type="dxa"/>
            <w:vMerge w:val="restart"/>
          </w:tcPr>
          <w:p w:rsidR="0009379A" w:rsidRDefault="0009379A" w:rsidP="00E37751">
            <w:pPr>
              <w:pStyle w:val="ListParagraph"/>
              <w:ind w:left="134"/>
              <w:rPr>
                <w:color w:val="FF0000"/>
                <w:sz w:val="20"/>
                <w:szCs w:val="20"/>
              </w:rPr>
            </w:pPr>
            <w:r w:rsidRPr="0009379A">
              <w:rPr>
                <w:color w:val="FF0000"/>
                <w:sz w:val="20"/>
                <w:szCs w:val="20"/>
              </w:rPr>
              <w:lastRenderedPageBreak/>
              <w:t>Artifacts</w:t>
            </w:r>
          </w:p>
          <w:p w:rsidR="0009379A" w:rsidRDefault="0009379A" w:rsidP="00E37751">
            <w:pPr>
              <w:pStyle w:val="ListParagraph"/>
              <w:ind w:left="134"/>
              <w:rPr>
                <w:color w:val="FF0000"/>
                <w:sz w:val="20"/>
                <w:szCs w:val="20"/>
              </w:rPr>
            </w:pPr>
            <w:r w:rsidRPr="0009379A">
              <w:rPr>
                <w:color w:val="FF0000"/>
                <w:sz w:val="20"/>
                <w:szCs w:val="20"/>
              </w:rPr>
              <w:t xml:space="preserve"> Mind Map template </w:t>
            </w:r>
          </w:p>
          <w:p w:rsidR="0009379A" w:rsidRPr="0009379A" w:rsidRDefault="0009379A" w:rsidP="00E37751">
            <w:pPr>
              <w:pStyle w:val="ListParagraph"/>
              <w:ind w:left="134"/>
              <w:rPr>
                <w:color w:val="FF0000"/>
                <w:sz w:val="20"/>
                <w:szCs w:val="20"/>
              </w:rPr>
            </w:pPr>
            <w:r w:rsidRPr="0009379A">
              <w:rPr>
                <w:color w:val="FF0000"/>
                <w:sz w:val="20"/>
                <w:szCs w:val="20"/>
              </w:rPr>
              <w:t>KWL template</w:t>
            </w:r>
          </w:p>
        </w:tc>
      </w:tr>
      <w:tr w:rsidR="0009379A" w:rsidRPr="005C1F46" w:rsidTr="00E37751">
        <w:trPr>
          <w:trHeight w:val="247"/>
        </w:trPr>
        <w:tc>
          <w:tcPr>
            <w:tcW w:w="1985" w:type="dxa"/>
            <w:vMerge/>
          </w:tcPr>
          <w:p w:rsidR="0009379A" w:rsidRPr="005C1F46" w:rsidRDefault="0009379A" w:rsidP="00E37751">
            <w:pPr>
              <w:rPr>
                <w:sz w:val="18"/>
                <w:szCs w:val="18"/>
              </w:rPr>
            </w:pPr>
          </w:p>
        </w:tc>
        <w:tc>
          <w:tcPr>
            <w:tcW w:w="3542" w:type="dxa"/>
            <w:vMerge/>
          </w:tcPr>
          <w:p w:rsidR="0009379A" w:rsidRPr="005C1F46" w:rsidRDefault="0009379A" w:rsidP="00E37751">
            <w:pPr>
              <w:pStyle w:val="ListParagraph"/>
              <w:ind w:left="139"/>
              <w:rPr>
                <w:sz w:val="20"/>
                <w:szCs w:val="20"/>
              </w:rPr>
            </w:pPr>
          </w:p>
        </w:tc>
        <w:tc>
          <w:tcPr>
            <w:tcW w:w="4963" w:type="dxa"/>
            <w:shd w:val="clear" w:color="auto" w:fill="D6E3BC" w:themeFill="accent3" w:themeFillTint="66"/>
          </w:tcPr>
          <w:p w:rsidR="0009379A" w:rsidRPr="005C1F46" w:rsidRDefault="0009379A" w:rsidP="00E37751">
            <w:pPr>
              <w:pStyle w:val="ListParagraph"/>
              <w:ind w:left="139"/>
              <w:rPr>
                <w:b/>
                <w:sz w:val="20"/>
                <w:szCs w:val="20"/>
              </w:rPr>
            </w:pPr>
            <w:r w:rsidRPr="005C1F46">
              <w:rPr>
                <w:b/>
                <w:sz w:val="20"/>
                <w:szCs w:val="20"/>
              </w:rPr>
              <w:t>Strategies for differentiation</w:t>
            </w:r>
          </w:p>
        </w:tc>
        <w:tc>
          <w:tcPr>
            <w:tcW w:w="2218" w:type="dxa"/>
            <w:vMerge/>
          </w:tcPr>
          <w:p w:rsidR="0009379A" w:rsidRPr="005C1F46" w:rsidRDefault="0009379A" w:rsidP="00E37751">
            <w:pPr>
              <w:ind w:left="360"/>
              <w:rPr>
                <w:sz w:val="20"/>
                <w:szCs w:val="20"/>
              </w:rPr>
            </w:pPr>
          </w:p>
        </w:tc>
        <w:tc>
          <w:tcPr>
            <w:tcW w:w="2573" w:type="dxa"/>
            <w:vMerge/>
          </w:tcPr>
          <w:p w:rsidR="0009379A" w:rsidRPr="005C1F46" w:rsidRDefault="0009379A" w:rsidP="00E37751">
            <w:pPr>
              <w:pStyle w:val="ListParagraph"/>
              <w:ind w:left="134"/>
              <w:rPr>
                <w:sz w:val="20"/>
                <w:szCs w:val="20"/>
              </w:rPr>
            </w:pPr>
          </w:p>
        </w:tc>
      </w:tr>
      <w:tr w:rsidR="0009379A" w:rsidRPr="005C1F46" w:rsidTr="00E37751">
        <w:trPr>
          <w:trHeight w:val="247"/>
        </w:trPr>
        <w:tc>
          <w:tcPr>
            <w:tcW w:w="1985" w:type="dxa"/>
            <w:vMerge/>
          </w:tcPr>
          <w:p w:rsidR="0009379A" w:rsidRPr="005C1F46" w:rsidRDefault="0009379A" w:rsidP="00E37751">
            <w:pPr>
              <w:rPr>
                <w:sz w:val="18"/>
                <w:szCs w:val="18"/>
              </w:rPr>
            </w:pPr>
          </w:p>
        </w:tc>
        <w:tc>
          <w:tcPr>
            <w:tcW w:w="3542" w:type="dxa"/>
            <w:vMerge/>
          </w:tcPr>
          <w:p w:rsidR="0009379A" w:rsidRPr="005C1F46" w:rsidRDefault="0009379A" w:rsidP="00E37751">
            <w:pPr>
              <w:pStyle w:val="ListParagraph"/>
              <w:ind w:left="139"/>
              <w:rPr>
                <w:sz w:val="20"/>
                <w:szCs w:val="20"/>
              </w:rPr>
            </w:pPr>
          </w:p>
        </w:tc>
        <w:tc>
          <w:tcPr>
            <w:tcW w:w="4963" w:type="dxa"/>
          </w:tcPr>
          <w:p w:rsidR="001859AF" w:rsidRPr="00990244" w:rsidRDefault="001859AF" w:rsidP="001859AF">
            <w:pPr>
              <w:spacing w:line="480" w:lineRule="auto"/>
              <w:ind w:firstLine="720"/>
              <w:contextualSpacing/>
              <w:rPr>
                <w:rFonts w:ascii="Times New Roman" w:hAnsi="Times New Roman" w:cs="Times New Roman"/>
              </w:rPr>
            </w:pPr>
            <w:r w:rsidRPr="00990244">
              <w:rPr>
                <w:rFonts w:ascii="Times New Roman" w:hAnsi="Times New Roman" w:cs="Times New Roman"/>
              </w:rPr>
              <w:t>Digital citizenship is defined as the good, moral, accountable, and informed usage of technology. The idea encompasses a variety of accomplishments and literacy’s that may include net safety, privacy and security, cyberbullying, online reputation management, communication skills, data skill, and creative credit and copyright. Enhanced connectivity increases this value of education learner</w:t>
            </w:r>
            <w:r>
              <w:rPr>
                <w:rFonts w:ascii="Times New Roman" w:hAnsi="Times New Roman" w:cs="Times New Roman"/>
              </w:rPr>
              <w:t>s how to turn into responsible</w:t>
            </w:r>
            <w:r w:rsidRPr="00990244">
              <w:rPr>
                <w:rFonts w:ascii="Times New Roman" w:hAnsi="Times New Roman" w:cs="Times New Roman"/>
              </w:rPr>
              <w:t xml:space="preserve"> digital citizens. Educators want to </w:t>
            </w:r>
            <w:r w:rsidRPr="00990244">
              <w:rPr>
                <w:rFonts w:ascii="Times New Roman" w:hAnsi="Times New Roman" w:cs="Times New Roman"/>
              </w:rPr>
              <w:lastRenderedPageBreak/>
              <w:t xml:space="preserve">take the development of these competencies, so students learn how to apply technology in ways that are important, creative, courteous, and secure. For instance, helping students teach proper online etiquette, how their data may be gathered and applied online, and how to provide access to the international group to change the world around them can help prepare them for successfully navigating life in a connected world. Mastering these skills requires the fundamental under- position of the engineering </w:t>
            </w:r>
            <w:r w:rsidRPr="00990244">
              <w:rPr>
                <w:rFonts w:ascii="Times New Roman" w:hAnsi="Times New Roman" w:cs="Times New Roman"/>
              </w:rPr>
              <w:lastRenderedPageBreak/>
              <w:t xml:space="preserve">tools and the ability to make increasingly good judgments about the purpose of them in teaching and everyday life. </w:t>
            </w:r>
          </w:p>
          <w:p w:rsidR="0009379A" w:rsidRPr="0009379A" w:rsidRDefault="0009379A" w:rsidP="0009379A">
            <w:pPr>
              <w:rPr>
                <w:sz w:val="20"/>
                <w:szCs w:val="20"/>
              </w:rPr>
            </w:pPr>
          </w:p>
        </w:tc>
        <w:tc>
          <w:tcPr>
            <w:tcW w:w="2218" w:type="dxa"/>
            <w:vMerge/>
          </w:tcPr>
          <w:p w:rsidR="0009379A" w:rsidRPr="005C1F46" w:rsidRDefault="0009379A" w:rsidP="00E37751">
            <w:pPr>
              <w:ind w:left="360"/>
              <w:rPr>
                <w:sz w:val="20"/>
                <w:szCs w:val="20"/>
              </w:rPr>
            </w:pPr>
          </w:p>
        </w:tc>
        <w:tc>
          <w:tcPr>
            <w:tcW w:w="2573" w:type="dxa"/>
            <w:vMerge/>
          </w:tcPr>
          <w:p w:rsidR="0009379A" w:rsidRPr="005C1F46" w:rsidRDefault="0009379A" w:rsidP="00E37751">
            <w:pPr>
              <w:pStyle w:val="ListParagraph"/>
              <w:ind w:left="134"/>
              <w:rPr>
                <w:sz w:val="20"/>
                <w:szCs w:val="20"/>
              </w:rPr>
            </w:pPr>
          </w:p>
        </w:tc>
      </w:tr>
      <w:tr w:rsidR="0009379A" w:rsidRPr="005C1F46" w:rsidTr="00E37751">
        <w:trPr>
          <w:trHeight w:val="201"/>
        </w:trPr>
        <w:tc>
          <w:tcPr>
            <w:tcW w:w="1985" w:type="dxa"/>
            <w:vMerge w:val="restart"/>
          </w:tcPr>
          <w:p w:rsidR="0009379A" w:rsidRPr="005C1F46" w:rsidRDefault="0009379A" w:rsidP="00E37751">
            <w:pPr>
              <w:rPr>
                <w:sz w:val="18"/>
                <w:szCs w:val="18"/>
              </w:rPr>
            </w:pPr>
            <w:r w:rsidRPr="005C1F46">
              <w:rPr>
                <w:sz w:val="18"/>
                <w:szCs w:val="18"/>
              </w:rPr>
              <w:lastRenderedPageBreak/>
              <w:t>SESSION 2</w:t>
            </w:r>
          </w:p>
          <w:p w:rsidR="0009379A" w:rsidRPr="005C1F46" w:rsidRDefault="0009379A" w:rsidP="00E37751">
            <w:pPr>
              <w:rPr>
                <w:sz w:val="18"/>
                <w:szCs w:val="18"/>
              </w:rPr>
            </w:pPr>
          </w:p>
          <w:p w:rsidR="0009379A" w:rsidRPr="005C1F46" w:rsidRDefault="0009379A" w:rsidP="00E37751">
            <w:pPr>
              <w:rPr>
                <w:sz w:val="18"/>
                <w:szCs w:val="18"/>
              </w:rPr>
            </w:pPr>
          </w:p>
          <w:p w:rsidR="0009379A" w:rsidRPr="005C1F46" w:rsidRDefault="0009379A" w:rsidP="00E37751">
            <w:pPr>
              <w:rPr>
                <w:sz w:val="18"/>
                <w:szCs w:val="18"/>
              </w:rPr>
            </w:pPr>
          </w:p>
        </w:tc>
        <w:tc>
          <w:tcPr>
            <w:tcW w:w="3542" w:type="dxa"/>
            <w:vMerge w:val="restart"/>
          </w:tcPr>
          <w:p w:rsidR="0009379A" w:rsidRPr="005C1F46" w:rsidRDefault="001859AF" w:rsidP="00E37751">
            <w:pPr>
              <w:rPr>
                <w:sz w:val="20"/>
                <w:szCs w:val="20"/>
              </w:rPr>
            </w:pPr>
            <w:r w:rsidRPr="00990244">
              <w:rPr>
                <w:rFonts w:ascii="Times New Roman" w:hAnsi="Times New Roman" w:cs="Times New Roman"/>
              </w:rPr>
              <w:t>When designing appraisal chances applying the inquiry-based teaching way, educators should take these following constructs fro</w:t>
            </w:r>
            <w:r>
              <w:rPr>
                <w:rFonts w:ascii="Times New Roman" w:hAnsi="Times New Roman" w:cs="Times New Roman"/>
              </w:rPr>
              <w:t>m developing individual</w:t>
            </w:r>
            <w:r w:rsidRPr="00990244">
              <w:rPr>
                <w:rFonts w:ascii="Times New Roman" w:hAnsi="Times New Roman" w:cs="Times New Roman"/>
              </w:rPr>
              <w:t xml:space="preserve"> preparation: Judgment should be planned at the same time as instruction, and it sho</w:t>
            </w:r>
            <w:r>
              <w:rPr>
                <w:rFonts w:ascii="Times New Roman" w:hAnsi="Times New Roman" w:cs="Times New Roman"/>
              </w:rPr>
              <w:t>uld be integrated seamlessly</w:t>
            </w:r>
            <w:r w:rsidRPr="00990244">
              <w:rPr>
                <w:rFonts w:ascii="Times New Roman" w:hAnsi="Times New Roman" w:cs="Times New Roman"/>
              </w:rPr>
              <w:t xml:space="preserve"> criteria: Established criteria for assessment and evaluation should be shared with students or co-constructed with students prior to learning. Students' job should be cited for classification and evaluation purposes to established standards, </w:t>
            </w:r>
            <w:r w:rsidRPr="00990244">
              <w:rPr>
                <w:rFonts w:ascii="Times New Roman" w:hAnsi="Times New Roman" w:cs="Times New Roman"/>
              </w:rPr>
              <w:lastRenderedPageBreak/>
              <w:t>rather than by comparing with the job done by different students.</w:t>
            </w:r>
          </w:p>
        </w:tc>
        <w:tc>
          <w:tcPr>
            <w:tcW w:w="4963" w:type="dxa"/>
          </w:tcPr>
          <w:p w:rsidR="0009379A" w:rsidRDefault="0009379A" w:rsidP="00E37751">
            <w:pPr>
              <w:pStyle w:val="ListParagraph"/>
              <w:ind w:left="175"/>
              <w:rPr>
                <w:sz w:val="20"/>
                <w:szCs w:val="20"/>
              </w:rPr>
            </w:pPr>
          </w:p>
          <w:p w:rsidR="0009379A" w:rsidRDefault="0009379A" w:rsidP="00E37751">
            <w:pPr>
              <w:pStyle w:val="ListParagraph"/>
              <w:ind w:left="175"/>
              <w:rPr>
                <w:sz w:val="20"/>
                <w:szCs w:val="20"/>
              </w:rPr>
            </w:pPr>
          </w:p>
          <w:p w:rsidR="0009379A" w:rsidRPr="005C1F46" w:rsidRDefault="0009379A" w:rsidP="00E37751">
            <w:pPr>
              <w:pStyle w:val="ListParagraph"/>
              <w:ind w:left="175"/>
              <w:rPr>
                <w:sz w:val="20"/>
                <w:szCs w:val="20"/>
              </w:rPr>
            </w:pPr>
          </w:p>
        </w:tc>
        <w:tc>
          <w:tcPr>
            <w:tcW w:w="2218" w:type="dxa"/>
            <w:vMerge w:val="restart"/>
          </w:tcPr>
          <w:p w:rsidR="0009379A" w:rsidRPr="005C1F46" w:rsidRDefault="0009379A" w:rsidP="00E37751">
            <w:pPr>
              <w:rPr>
                <w:sz w:val="20"/>
                <w:szCs w:val="20"/>
              </w:rPr>
            </w:pPr>
          </w:p>
        </w:tc>
        <w:tc>
          <w:tcPr>
            <w:tcW w:w="2573" w:type="dxa"/>
            <w:vMerge w:val="restart"/>
          </w:tcPr>
          <w:p w:rsidR="0009379A" w:rsidRPr="005C1F46" w:rsidRDefault="0009379A" w:rsidP="00E37751">
            <w:pPr>
              <w:rPr>
                <w:sz w:val="20"/>
                <w:szCs w:val="20"/>
              </w:rPr>
            </w:pPr>
          </w:p>
        </w:tc>
      </w:tr>
      <w:tr w:rsidR="0009379A" w:rsidRPr="005C1F46" w:rsidTr="00E37751">
        <w:trPr>
          <w:trHeight w:val="201"/>
        </w:trPr>
        <w:tc>
          <w:tcPr>
            <w:tcW w:w="1985" w:type="dxa"/>
            <w:vMerge/>
          </w:tcPr>
          <w:p w:rsidR="0009379A" w:rsidRPr="005C1F46" w:rsidRDefault="0009379A" w:rsidP="00E37751">
            <w:pPr>
              <w:rPr>
                <w:sz w:val="18"/>
                <w:szCs w:val="18"/>
              </w:rPr>
            </w:pPr>
          </w:p>
        </w:tc>
        <w:tc>
          <w:tcPr>
            <w:tcW w:w="3542" w:type="dxa"/>
            <w:vMerge/>
          </w:tcPr>
          <w:p w:rsidR="0009379A" w:rsidRPr="005C1F46" w:rsidRDefault="0009379A" w:rsidP="00E37751">
            <w:pPr>
              <w:rPr>
                <w:sz w:val="20"/>
                <w:szCs w:val="20"/>
              </w:rPr>
            </w:pPr>
          </w:p>
        </w:tc>
        <w:tc>
          <w:tcPr>
            <w:tcW w:w="4963" w:type="dxa"/>
            <w:shd w:val="clear" w:color="auto" w:fill="D6E3BC" w:themeFill="accent3" w:themeFillTint="66"/>
          </w:tcPr>
          <w:p w:rsidR="0009379A" w:rsidRPr="005C1F46" w:rsidRDefault="0009379A" w:rsidP="00E37751">
            <w:pPr>
              <w:pStyle w:val="ListParagraph"/>
              <w:ind w:left="175"/>
              <w:rPr>
                <w:sz w:val="20"/>
                <w:szCs w:val="20"/>
              </w:rPr>
            </w:pPr>
            <w:r w:rsidRPr="005C1F46">
              <w:rPr>
                <w:b/>
                <w:sz w:val="20"/>
                <w:szCs w:val="20"/>
              </w:rPr>
              <w:t>Strategies for differentiation</w:t>
            </w:r>
          </w:p>
        </w:tc>
        <w:tc>
          <w:tcPr>
            <w:tcW w:w="2218" w:type="dxa"/>
            <w:vMerge/>
          </w:tcPr>
          <w:p w:rsidR="0009379A" w:rsidRPr="005C1F46" w:rsidRDefault="0009379A" w:rsidP="00E37751">
            <w:pPr>
              <w:rPr>
                <w:sz w:val="20"/>
                <w:szCs w:val="20"/>
              </w:rPr>
            </w:pPr>
          </w:p>
        </w:tc>
        <w:tc>
          <w:tcPr>
            <w:tcW w:w="2573" w:type="dxa"/>
            <w:vMerge/>
          </w:tcPr>
          <w:p w:rsidR="0009379A" w:rsidRPr="005C1F46" w:rsidRDefault="0009379A" w:rsidP="00E37751">
            <w:pPr>
              <w:rPr>
                <w:sz w:val="20"/>
                <w:szCs w:val="20"/>
              </w:rPr>
            </w:pPr>
          </w:p>
        </w:tc>
      </w:tr>
      <w:tr w:rsidR="0009379A" w:rsidRPr="005C1F46" w:rsidTr="00E37751">
        <w:trPr>
          <w:trHeight w:val="201"/>
        </w:trPr>
        <w:tc>
          <w:tcPr>
            <w:tcW w:w="1985" w:type="dxa"/>
            <w:vMerge/>
          </w:tcPr>
          <w:p w:rsidR="0009379A" w:rsidRPr="005C1F46" w:rsidRDefault="0009379A" w:rsidP="00E37751">
            <w:pPr>
              <w:rPr>
                <w:sz w:val="18"/>
                <w:szCs w:val="18"/>
              </w:rPr>
            </w:pPr>
          </w:p>
        </w:tc>
        <w:tc>
          <w:tcPr>
            <w:tcW w:w="3542" w:type="dxa"/>
            <w:vMerge/>
          </w:tcPr>
          <w:p w:rsidR="0009379A" w:rsidRPr="005C1F46" w:rsidRDefault="0009379A" w:rsidP="00E37751">
            <w:pPr>
              <w:rPr>
                <w:sz w:val="20"/>
                <w:szCs w:val="20"/>
              </w:rPr>
            </w:pPr>
          </w:p>
        </w:tc>
        <w:tc>
          <w:tcPr>
            <w:tcW w:w="4963" w:type="dxa"/>
          </w:tcPr>
          <w:p w:rsidR="0009379A" w:rsidRDefault="0009379A" w:rsidP="00E37751">
            <w:pPr>
              <w:pStyle w:val="ListParagraph"/>
              <w:ind w:left="175"/>
              <w:rPr>
                <w:sz w:val="20"/>
                <w:szCs w:val="20"/>
              </w:rPr>
            </w:pPr>
          </w:p>
          <w:p w:rsidR="001859AF" w:rsidRPr="00990244" w:rsidRDefault="001859AF" w:rsidP="001859AF">
            <w:pPr>
              <w:spacing w:line="480" w:lineRule="auto"/>
              <w:ind w:firstLine="720"/>
              <w:contextualSpacing/>
              <w:rPr>
                <w:rFonts w:ascii="Times New Roman" w:hAnsi="Times New Roman" w:cs="Times New Roman"/>
              </w:rPr>
            </w:pPr>
            <w:r w:rsidRPr="00990244">
              <w:rPr>
                <w:rFonts w:ascii="Times New Roman" w:hAnsi="Times New Roman" w:cs="Times New Roman"/>
              </w:rPr>
              <w:t xml:space="preserve">Efficient usage: Even when women have cheap, unfettered, and secure access to ICT, the digital divide remains. Women encounter obstacles to utilize ICT because of the training and skill gaps effectively. These translate to lower technical skills or the digital skill gap. </w:t>
            </w:r>
            <w:r w:rsidRPr="00990244">
              <w:rPr>
                <w:rFonts w:ascii="Times New Roman" w:hAnsi="Times New Roman" w:cs="Times New Roman"/>
              </w:rPr>
              <w:lastRenderedPageBreak/>
              <w:t>Females also experience the need of relatable knowledge and are subject to gender-based violence on the Internet. Both bring to deflating the apparent amount of accessing the net for females, which restrict their investment of time and resources at it.</w:t>
            </w:r>
          </w:p>
          <w:p w:rsidR="0009379A" w:rsidRPr="005C1F46" w:rsidRDefault="0009379A" w:rsidP="00E37751">
            <w:pPr>
              <w:pStyle w:val="ListParagraph"/>
              <w:ind w:left="175"/>
              <w:rPr>
                <w:sz w:val="20"/>
                <w:szCs w:val="20"/>
              </w:rPr>
            </w:pPr>
          </w:p>
        </w:tc>
        <w:tc>
          <w:tcPr>
            <w:tcW w:w="2218" w:type="dxa"/>
            <w:vMerge/>
          </w:tcPr>
          <w:p w:rsidR="0009379A" w:rsidRPr="005C1F46" w:rsidRDefault="0009379A" w:rsidP="00E37751">
            <w:pPr>
              <w:rPr>
                <w:sz w:val="20"/>
                <w:szCs w:val="20"/>
              </w:rPr>
            </w:pPr>
          </w:p>
        </w:tc>
        <w:tc>
          <w:tcPr>
            <w:tcW w:w="2573" w:type="dxa"/>
            <w:vMerge/>
          </w:tcPr>
          <w:p w:rsidR="0009379A" w:rsidRPr="005C1F46" w:rsidRDefault="0009379A" w:rsidP="00E37751">
            <w:pPr>
              <w:rPr>
                <w:sz w:val="20"/>
                <w:szCs w:val="20"/>
              </w:rPr>
            </w:pPr>
          </w:p>
        </w:tc>
      </w:tr>
      <w:tr w:rsidR="0009379A" w:rsidRPr="005C1F46" w:rsidTr="00E37751">
        <w:trPr>
          <w:trHeight w:val="201"/>
        </w:trPr>
        <w:tc>
          <w:tcPr>
            <w:tcW w:w="1985" w:type="dxa"/>
            <w:vMerge w:val="restart"/>
          </w:tcPr>
          <w:p w:rsidR="0009379A" w:rsidRPr="005C1F46" w:rsidRDefault="0009379A" w:rsidP="00E37751">
            <w:pPr>
              <w:rPr>
                <w:sz w:val="18"/>
                <w:szCs w:val="18"/>
              </w:rPr>
            </w:pPr>
            <w:r w:rsidRPr="005C1F46">
              <w:rPr>
                <w:sz w:val="18"/>
                <w:szCs w:val="18"/>
              </w:rPr>
              <w:lastRenderedPageBreak/>
              <w:t>SESSION 3</w:t>
            </w:r>
          </w:p>
          <w:p w:rsidR="0009379A" w:rsidRPr="005C1F46" w:rsidRDefault="0009379A" w:rsidP="00E37751">
            <w:pPr>
              <w:rPr>
                <w:sz w:val="18"/>
                <w:szCs w:val="18"/>
              </w:rPr>
            </w:pPr>
          </w:p>
          <w:p w:rsidR="0009379A" w:rsidRPr="005C1F46" w:rsidRDefault="0009379A" w:rsidP="00E37751">
            <w:pPr>
              <w:rPr>
                <w:sz w:val="18"/>
                <w:szCs w:val="18"/>
              </w:rPr>
            </w:pPr>
          </w:p>
          <w:p w:rsidR="0009379A" w:rsidRPr="005C1F46" w:rsidRDefault="0009379A" w:rsidP="00E37751">
            <w:pPr>
              <w:rPr>
                <w:sz w:val="18"/>
                <w:szCs w:val="18"/>
              </w:rPr>
            </w:pPr>
          </w:p>
        </w:tc>
        <w:tc>
          <w:tcPr>
            <w:tcW w:w="3542" w:type="dxa"/>
            <w:vMerge w:val="restart"/>
          </w:tcPr>
          <w:p w:rsidR="0009379A" w:rsidRPr="005C1F46" w:rsidRDefault="001859AF" w:rsidP="00E37751">
            <w:pPr>
              <w:rPr>
                <w:sz w:val="20"/>
                <w:szCs w:val="20"/>
              </w:rPr>
            </w:pPr>
            <w:r w:rsidRPr="00990244">
              <w:rPr>
                <w:rFonts w:ascii="Times New Roman" w:hAnsi="Times New Roman" w:cs="Times New Roman"/>
              </w:rPr>
              <w:t>When designing appraisal chances applying the inquiry-based teaching way, educators should take these following constructs fro</w:t>
            </w:r>
            <w:r>
              <w:rPr>
                <w:rFonts w:ascii="Times New Roman" w:hAnsi="Times New Roman" w:cs="Times New Roman"/>
              </w:rPr>
              <w:t>m developing individual</w:t>
            </w:r>
            <w:r w:rsidRPr="00990244">
              <w:rPr>
                <w:rFonts w:ascii="Times New Roman" w:hAnsi="Times New Roman" w:cs="Times New Roman"/>
              </w:rPr>
              <w:t xml:space="preserve"> preparation: Judgment should be planned at the same time as instruction, and it sho</w:t>
            </w:r>
            <w:r>
              <w:rPr>
                <w:rFonts w:ascii="Times New Roman" w:hAnsi="Times New Roman" w:cs="Times New Roman"/>
              </w:rPr>
              <w:t>uld be integrated seamlessly</w:t>
            </w:r>
            <w:r w:rsidRPr="00990244">
              <w:rPr>
                <w:rFonts w:ascii="Times New Roman" w:hAnsi="Times New Roman" w:cs="Times New Roman"/>
              </w:rPr>
              <w:t xml:space="preserve"> criteria: Established criteria for assessment </w:t>
            </w:r>
            <w:r w:rsidRPr="00990244">
              <w:rPr>
                <w:rFonts w:ascii="Times New Roman" w:hAnsi="Times New Roman" w:cs="Times New Roman"/>
              </w:rPr>
              <w:lastRenderedPageBreak/>
              <w:t>and evaluation should be shared with students or co-constructed with students prior to learning. Students' job should be cited for classification and evaluation purposes to established standards, rather than by comparing with the job done by different students.</w:t>
            </w:r>
          </w:p>
        </w:tc>
        <w:tc>
          <w:tcPr>
            <w:tcW w:w="4963" w:type="dxa"/>
          </w:tcPr>
          <w:p w:rsidR="0009379A" w:rsidRDefault="0009379A" w:rsidP="00E37751">
            <w:pPr>
              <w:rPr>
                <w:sz w:val="20"/>
                <w:szCs w:val="20"/>
              </w:rPr>
            </w:pPr>
          </w:p>
          <w:p w:rsidR="0009379A" w:rsidRDefault="0009379A" w:rsidP="00E37751">
            <w:pPr>
              <w:rPr>
                <w:sz w:val="20"/>
                <w:szCs w:val="20"/>
              </w:rPr>
            </w:pPr>
          </w:p>
          <w:p w:rsidR="0009379A" w:rsidRPr="005C1F46" w:rsidRDefault="0009379A" w:rsidP="00E37751">
            <w:pPr>
              <w:rPr>
                <w:sz w:val="20"/>
                <w:szCs w:val="20"/>
              </w:rPr>
            </w:pPr>
          </w:p>
        </w:tc>
        <w:tc>
          <w:tcPr>
            <w:tcW w:w="2218" w:type="dxa"/>
            <w:vMerge w:val="restart"/>
          </w:tcPr>
          <w:p w:rsidR="0009379A" w:rsidRPr="005C1F46" w:rsidRDefault="0009379A" w:rsidP="00E37751">
            <w:pPr>
              <w:rPr>
                <w:sz w:val="20"/>
                <w:szCs w:val="20"/>
              </w:rPr>
            </w:pPr>
          </w:p>
        </w:tc>
        <w:tc>
          <w:tcPr>
            <w:tcW w:w="2573" w:type="dxa"/>
            <w:vMerge w:val="restart"/>
          </w:tcPr>
          <w:p w:rsidR="0009379A" w:rsidRPr="005C1F46" w:rsidRDefault="0009379A" w:rsidP="00E37751">
            <w:pPr>
              <w:rPr>
                <w:sz w:val="20"/>
                <w:szCs w:val="20"/>
              </w:rPr>
            </w:pPr>
          </w:p>
        </w:tc>
      </w:tr>
      <w:tr w:rsidR="0009379A" w:rsidRPr="005C1F46" w:rsidTr="00E37751">
        <w:trPr>
          <w:trHeight w:val="201"/>
        </w:trPr>
        <w:tc>
          <w:tcPr>
            <w:tcW w:w="1985" w:type="dxa"/>
            <w:vMerge/>
          </w:tcPr>
          <w:p w:rsidR="0009379A" w:rsidRPr="005C1F46" w:rsidRDefault="0009379A" w:rsidP="00E37751">
            <w:pPr>
              <w:rPr>
                <w:sz w:val="18"/>
                <w:szCs w:val="18"/>
              </w:rPr>
            </w:pPr>
          </w:p>
        </w:tc>
        <w:tc>
          <w:tcPr>
            <w:tcW w:w="3542" w:type="dxa"/>
            <w:vMerge/>
          </w:tcPr>
          <w:p w:rsidR="0009379A" w:rsidRPr="005C1F46" w:rsidRDefault="0009379A" w:rsidP="00E37751">
            <w:pPr>
              <w:rPr>
                <w:sz w:val="20"/>
                <w:szCs w:val="20"/>
              </w:rPr>
            </w:pPr>
          </w:p>
        </w:tc>
        <w:tc>
          <w:tcPr>
            <w:tcW w:w="4963" w:type="dxa"/>
            <w:shd w:val="clear" w:color="auto" w:fill="D6E3BC" w:themeFill="accent3" w:themeFillTint="66"/>
          </w:tcPr>
          <w:p w:rsidR="0009379A" w:rsidRPr="005C1F46" w:rsidRDefault="0009379A" w:rsidP="00E37751">
            <w:pPr>
              <w:rPr>
                <w:sz w:val="20"/>
                <w:szCs w:val="20"/>
              </w:rPr>
            </w:pPr>
            <w:r w:rsidRPr="005C1F46">
              <w:rPr>
                <w:b/>
                <w:sz w:val="20"/>
                <w:szCs w:val="20"/>
              </w:rPr>
              <w:t>Strategies for differentiation</w:t>
            </w:r>
          </w:p>
        </w:tc>
        <w:tc>
          <w:tcPr>
            <w:tcW w:w="2218" w:type="dxa"/>
            <w:vMerge/>
          </w:tcPr>
          <w:p w:rsidR="0009379A" w:rsidRPr="005C1F46" w:rsidRDefault="0009379A" w:rsidP="00E37751">
            <w:pPr>
              <w:rPr>
                <w:sz w:val="20"/>
                <w:szCs w:val="20"/>
              </w:rPr>
            </w:pPr>
          </w:p>
        </w:tc>
        <w:tc>
          <w:tcPr>
            <w:tcW w:w="2573" w:type="dxa"/>
            <w:vMerge/>
          </w:tcPr>
          <w:p w:rsidR="0009379A" w:rsidRPr="005C1F46" w:rsidRDefault="0009379A" w:rsidP="00E37751">
            <w:pPr>
              <w:rPr>
                <w:sz w:val="20"/>
                <w:szCs w:val="20"/>
              </w:rPr>
            </w:pPr>
          </w:p>
        </w:tc>
      </w:tr>
      <w:tr w:rsidR="0009379A" w:rsidRPr="005C1F46" w:rsidTr="00E37751">
        <w:trPr>
          <w:trHeight w:val="201"/>
        </w:trPr>
        <w:tc>
          <w:tcPr>
            <w:tcW w:w="1985" w:type="dxa"/>
            <w:vMerge/>
          </w:tcPr>
          <w:p w:rsidR="0009379A" w:rsidRPr="005C1F46" w:rsidRDefault="0009379A" w:rsidP="00E37751">
            <w:pPr>
              <w:rPr>
                <w:sz w:val="18"/>
                <w:szCs w:val="18"/>
              </w:rPr>
            </w:pPr>
          </w:p>
        </w:tc>
        <w:tc>
          <w:tcPr>
            <w:tcW w:w="3542" w:type="dxa"/>
            <w:vMerge/>
          </w:tcPr>
          <w:p w:rsidR="0009379A" w:rsidRPr="005C1F46" w:rsidRDefault="0009379A" w:rsidP="00E37751">
            <w:pPr>
              <w:rPr>
                <w:sz w:val="20"/>
                <w:szCs w:val="20"/>
              </w:rPr>
            </w:pPr>
          </w:p>
        </w:tc>
        <w:tc>
          <w:tcPr>
            <w:tcW w:w="4963" w:type="dxa"/>
          </w:tcPr>
          <w:p w:rsidR="0009379A" w:rsidRDefault="0009379A" w:rsidP="00E37751">
            <w:pPr>
              <w:rPr>
                <w:sz w:val="20"/>
                <w:szCs w:val="20"/>
              </w:rPr>
            </w:pPr>
          </w:p>
          <w:p w:rsidR="001859AF" w:rsidRPr="00990244" w:rsidRDefault="001859AF" w:rsidP="001859AF">
            <w:pPr>
              <w:spacing w:line="480" w:lineRule="auto"/>
              <w:ind w:firstLine="720"/>
              <w:contextualSpacing/>
              <w:rPr>
                <w:rFonts w:ascii="Times New Roman" w:hAnsi="Times New Roman" w:cs="Times New Roman"/>
              </w:rPr>
            </w:pPr>
            <w:r w:rsidRPr="00990244">
              <w:rPr>
                <w:rFonts w:ascii="Times New Roman" w:hAnsi="Times New Roman" w:cs="Times New Roman"/>
              </w:rPr>
              <w:t xml:space="preserve">Usage of ICT for more exceptional education and studying: That includes that growth and investigation of digital texts and </w:t>
            </w:r>
            <w:r w:rsidRPr="00990244">
              <w:rPr>
                <w:rFonts w:ascii="Times New Roman" w:hAnsi="Times New Roman" w:cs="Times New Roman"/>
              </w:rPr>
              <w:lastRenderedPageBreak/>
              <w:t>different digital teaching resources, and this supply of the ultra high-speed wireless local area network (LAN) to support the one-to-one computing initiative and other ICT tools, such as digital blackboards and digital TVs.</w:t>
            </w:r>
            <w:r w:rsidRPr="00F65938">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w:t>
            </w:r>
            <w:r>
              <w:rPr>
                <w:rFonts w:ascii="Times New Roman" w:hAnsi="Times New Roman" w:cs="Times New Roman"/>
              </w:rPr>
              <w:t xml:space="preserve">Bowen, &amp; Fincher, </w:t>
            </w:r>
            <w:r w:rsidRPr="00F65938">
              <w:rPr>
                <w:rFonts w:ascii="Times New Roman" w:hAnsi="Times New Roman" w:cs="Times New Roman"/>
              </w:rPr>
              <w:t xml:space="preserve">2018). </w:t>
            </w:r>
          </w:p>
          <w:p w:rsidR="0009379A" w:rsidRPr="005C1F46" w:rsidRDefault="0009379A" w:rsidP="00E37751">
            <w:pPr>
              <w:rPr>
                <w:sz w:val="20"/>
                <w:szCs w:val="20"/>
              </w:rPr>
            </w:pPr>
          </w:p>
        </w:tc>
        <w:tc>
          <w:tcPr>
            <w:tcW w:w="2218" w:type="dxa"/>
            <w:vMerge/>
          </w:tcPr>
          <w:p w:rsidR="0009379A" w:rsidRPr="005C1F46" w:rsidRDefault="0009379A" w:rsidP="00E37751">
            <w:pPr>
              <w:rPr>
                <w:sz w:val="20"/>
                <w:szCs w:val="20"/>
              </w:rPr>
            </w:pPr>
          </w:p>
        </w:tc>
        <w:tc>
          <w:tcPr>
            <w:tcW w:w="2573" w:type="dxa"/>
            <w:vMerge/>
          </w:tcPr>
          <w:p w:rsidR="0009379A" w:rsidRPr="005C1F46" w:rsidRDefault="0009379A" w:rsidP="00E37751">
            <w:pPr>
              <w:rPr>
                <w:sz w:val="20"/>
                <w:szCs w:val="20"/>
              </w:rPr>
            </w:pPr>
          </w:p>
        </w:tc>
      </w:tr>
      <w:tr w:rsidR="0009379A" w:rsidRPr="005C1F46" w:rsidTr="00E37751">
        <w:trPr>
          <w:trHeight w:val="252"/>
        </w:trPr>
        <w:tc>
          <w:tcPr>
            <w:tcW w:w="1985" w:type="dxa"/>
            <w:vMerge w:val="restart"/>
          </w:tcPr>
          <w:p w:rsidR="0009379A" w:rsidRPr="005C1F46" w:rsidRDefault="0009379A" w:rsidP="00E37751">
            <w:pPr>
              <w:rPr>
                <w:sz w:val="18"/>
                <w:szCs w:val="18"/>
              </w:rPr>
            </w:pPr>
            <w:r w:rsidRPr="005C1F46">
              <w:rPr>
                <w:sz w:val="18"/>
                <w:szCs w:val="18"/>
              </w:rPr>
              <w:lastRenderedPageBreak/>
              <w:t>SESSION 4</w:t>
            </w:r>
          </w:p>
          <w:p w:rsidR="0009379A" w:rsidRPr="005C1F46" w:rsidRDefault="0009379A" w:rsidP="00E37751">
            <w:pPr>
              <w:rPr>
                <w:sz w:val="18"/>
                <w:szCs w:val="18"/>
              </w:rPr>
            </w:pPr>
          </w:p>
          <w:p w:rsidR="0009379A" w:rsidRPr="005C1F46" w:rsidRDefault="0009379A" w:rsidP="00E37751">
            <w:pPr>
              <w:rPr>
                <w:sz w:val="18"/>
                <w:szCs w:val="18"/>
              </w:rPr>
            </w:pPr>
          </w:p>
          <w:p w:rsidR="0009379A" w:rsidRPr="005C1F46" w:rsidRDefault="0009379A" w:rsidP="00E37751">
            <w:pPr>
              <w:rPr>
                <w:sz w:val="18"/>
                <w:szCs w:val="18"/>
              </w:rPr>
            </w:pPr>
          </w:p>
          <w:p w:rsidR="0009379A" w:rsidRPr="005C1F46" w:rsidRDefault="0009379A" w:rsidP="00E37751">
            <w:pPr>
              <w:rPr>
                <w:sz w:val="18"/>
                <w:szCs w:val="18"/>
              </w:rPr>
            </w:pPr>
          </w:p>
        </w:tc>
        <w:tc>
          <w:tcPr>
            <w:tcW w:w="3542" w:type="dxa"/>
            <w:vMerge w:val="restart"/>
          </w:tcPr>
          <w:p w:rsidR="0009379A" w:rsidRPr="005C1F46" w:rsidRDefault="0009379A" w:rsidP="00E37751">
            <w:pPr>
              <w:rPr>
                <w:sz w:val="20"/>
                <w:szCs w:val="20"/>
              </w:rPr>
            </w:pPr>
          </w:p>
          <w:p w:rsidR="0009379A" w:rsidRPr="005C1F46" w:rsidRDefault="001859AF" w:rsidP="00E37751">
            <w:pPr>
              <w:rPr>
                <w:sz w:val="20"/>
                <w:szCs w:val="20"/>
              </w:rPr>
            </w:pPr>
            <w:r w:rsidRPr="00990244">
              <w:rPr>
                <w:rFonts w:ascii="Times New Roman" w:hAnsi="Times New Roman" w:cs="Times New Roman"/>
              </w:rPr>
              <w:t>When designing appraisal chances applying the inquiry-based teaching way, educators should take these following constructs fro</w:t>
            </w:r>
            <w:r>
              <w:rPr>
                <w:rFonts w:ascii="Times New Roman" w:hAnsi="Times New Roman" w:cs="Times New Roman"/>
              </w:rPr>
              <w:t>m developing individual</w:t>
            </w:r>
            <w:r w:rsidRPr="00990244">
              <w:rPr>
                <w:rFonts w:ascii="Times New Roman" w:hAnsi="Times New Roman" w:cs="Times New Roman"/>
              </w:rPr>
              <w:t xml:space="preserve"> preparation: Judgment should be planned at the same time as instruction, and it sho</w:t>
            </w:r>
            <w:r>
              <w:rPr>
                <w:rFonts w:ascii="Times New Roman" w:hAnsi="Times New Roman" w:cs="Times New Roman"/>
              </w:rPr>
              <w:t>uld be integrated seamlessly</w:t>
            </w:r>
            <w:r w:rsidRPr="00990244">
              <w:rPr>
                <w:rFonts w:ascii="Times New Roman" w:hAnsi="Times New Roman" w:cs="Times New Roman"/>
              </w:rPr>
              <w:t xml:space="preserve"> criteria: </w:t>
            </w:r>
            <w:r w:rsidRPr="00990244">
              <w:rPr>
                <w:rFonts w:ascii="Times New Roman" w:hAnsi="Times New Roman" w:cs="Times New Roman"/>
              </w:rPr>
              <w:lastRenderedPageBreak/>
              <w:t>Established criteria for assessment and evaluation should be shared with students or co-constructed with students prior to learning. Students' job should be cited for classification and evaluation purposes to established standards, rather than by comparing with the job done by different students</w:t>
            </w:r>
          </w:p>
        </w:tc>
        <w:tc>
          <w:tcPr>
            <w:tcW w:w="4963" w:type="dxa"/>
          </w:tcPr>
          <w:p w:rsidR="0009379A" w:rsidRDefault="0009379A" w:rsidP="00E37751">
            <w:pPr>
              <w:rPr>
                <w:sz w:val="20"/>
                <w:szCs w:val="20"/>
              </w:rPr>
            </w:pPr>
          </w:p>
          <w:p w:rsidR="0009379A" w:rsidRDefault="0009379A" w:rsidP="00E37751">
            <w:pPr>
              <w:rPr>
                <w:sz w:val="20"/>
                <w:szCs w:val="20"/>
              </w:rPr>
            </w:pPr>
          </w:p>
          <w:p w:rsidR="0009379A" w:rsidRPr="005C1F46" w:rsidRDefault="0009379A" w:rsidP="00E37751">
            <w:pPr>
              <w:rPr>
                <w:sz w:val="20"/>
                <w:szCs w:val="20"/>
              </w:rPr>
            </w:pPr>
          </w:p>
        </w:tc>
        <w:tc>
          <w:tcPr>
            <w:tcW w:w="2218" w:type="dxa"/>
            <w:vMerge w:val="restart"/>
          </w:tcPr>
          <w:p w:rsidR="0009379A" w:rsidRPr="005C1F46" w:rsidRDefault="0009379A" w:rsidP="00E37751">
            <w:pPr>
              <w:rPr>
                <w:sz w:val="20"/>
                <w:szCs w:val="20"/>
              </w:rPr>
            </w:pPr>
          </w:p>
        </w:tc>
        <w:tc>
          <w:tcPr>
            <w:tcW w:w="2573" w:type="dxa"/>
            <w:vMerge w:val="restart"/>
          </w:tcPr>
          <w:p w:rsidR="0009379A" w:rsidRPr="005C1F46" w:rsidRDefault="0009379A" w:rsidP="00E37751">
            <w:pPr>
              <w:rPr>
                <w:sz w:val="20"/>
                <w:szCs w:val="20"/>
              </w:rPr>
            </w:pPr>
          </w:p>
        </w:tc>
      </w:tr>
      <w:tr w:rsidR="0009379A" w:rsidRPr="005C1F46" w:rsidTr="00E37751">
        <w:trPr>
          <w:trHeight w:val="251"/>
        </w:trPr>
        <w:tc>
          <w:tcPr>
            <w:tcW w:w="1985" w:type="dxa"/>
            <w:vMerge/>
          </w:tcPr>
          <w:p w:rsidR="0009379A" w:rsidRPr="005C1F46" w:rsidRDefault="0009379A" w:rsidP="00E37751">
            <w:pPr>
              <w:rPr>
                <w:sz w:val="18"/>
                <w:szCs w:val="18"/>
              </w:rPr>
            </w:pPr>
          </w:p>
        </w:tc>
        <w:tc>
          <w:tcPr>
            <w:tcW w:w="3542" w:type="dxa"/>
            <w:vMerge/>
          </w:tcPr>
          <w:p w:rsidR="0009379A" w:rsidRPr="005C1F46" w:rsidRDefault="0009379A" w:rsidP="00E37751">
            <w:pPr>
              <w:rPr>
                <w:sz w:val="20"/>
                <w:szCs w:val="20"/>
              </w:rPr>
            </w:pPr>
          </w:p>
        </w:tc>
        <w:tc>
          <w:tcPr>
            <w:tcW w:w="4963" w:type="dxa"/>
            <w:shd w:val="clear" w:color="auto" w:fill="D6E3BC" w:themeFill="accent3" w:themeFillTint="66"/>
          </w:tcPr>
          <w:p w:rsidR="0009379A" w:rsidRPr="005C1F46" w:rsidRDefault="0009379A" w:rsidP="00E37751">
            <w:pPr>
              <w:rPr>
                <w:sz w:val="20"/>
                <w:szCs w:val="20"/>
              </w:rPr>
            </w:pPr>
            <w:r w:rsidRPr="005C1F46">
              <w:rPr>
                <w:b/>
                <w:sz w:val="20"/>
                <w:szCs w:val="20"/>
                <w:shd w:val="clear" w:color="auto" w:fill="D6E3BC" w:themeFill="accent3" w:themeFillTint="66"/>
              </w:rPr>
              <w:t>Strategies</w:t>
            </w:r>
            <w:r w:rsidRPr="005C1F46">
              <w:rPr>
                <w:b/>
                <w:sz w:val="20"/>
                <w:szCs w:val="20"/>
              </w:rPr>
              <w:t xml:space="preserve"> for differentiation</w:t>
            </w:r>
          </w:p>
        </w:tc>
        <w:tc>
          <w:tcPr>
            <w:tcW w:w="2218" w:type="dxa"/>
            <w:vMerge/>
          </w:tcPr>
          <w:p w:rsidR="0009379A" w:rsidRPr="005C1F46" w:rsidRDefault="0009379A" w:rsidP="00E37751">
            <w:pPr>
              <w:rPr>
                <w:sz w:val="20"/>
                <w:szCs w:val="20"/>
              </w:rPr>
            </w:pPr>
          </w:p>
        </w:tc>
        <w:tc>
          <w:tcPr>
            <w:tcW w:w="2573" w:type="dxa"/>
            <w:vMerge/>
          </w:tcPr>
          <w:p w:rsidR="0009379A" w:rsidRPr="005C1F46" w:rsidRDefault="0009379A" w:rsidP="00E37751">
            <w:pPr>
              <w:rPr>
                <w:sz w:val="20"/>
                <w:szCs w:val="20"/>
              </w:rPr>
            </w:pPr>
          </w:p>
        </w:tc>
      </w:tr>
      <w:tr w:rsidR="0009379A" w:rsidRPr="005C1F46" w:rsidTr="00E37751">
        <w:trPr>
          <w:trHeight w:val="251"/>
        </w:trPr>
        <w:tc>
          <w:tcPr>
            <w:tcW w:w="1985" w:type="dxa"/>
            <w:vMerge/>
          </w:tcPr>
          <w:p w:rsidR="0009379A" w:rsidRPr="005C1F46" w:rsidRDefault="0009379A" w:rsidP="00E37751">
            <w:pPr>
              <w:rPr>
                <w:sz w:val="18"/>
                <w:szCs w:val="18"/>
              </w:rPr>
            </w:pPr>
          </w:p>
        </w:tc>
        <w:tc>
          <w:tcPr>
            <w:tcW w:w="3542" w:type="dxa"/>
            <w:vMerge/>
          </w:tcPr>
          <w:p w:rsidR="0009379A" w:rsidRPr="005C1F46" w:rsidRDefault="0009379A" w:rsidP="00E37751">
            <w:pPr>
              <w:rPr>
                <w:sz w:val="20"/>
                <w:szCs w:val="20"/>
              </w:rPr>
            </w:pPr>
          </w:p>
        </w:tc>
        <w:tc>
          <w:tcPr>
            <w:tcW w:w="4963" w:type="dxa"/>
          </w:tcPr>
          <w:p w:rsidR="0009379A" w:rsidRDefault="0009379A" w:rsidP="00E37751">
            <w:pPr>
              <w:rPr>
                <w:sz w:val="20"/>
                <w:szCs w:val="20"/>
              </w:rPr>
            </w:pPr>
          </w:p>
          <w:p w:rsidR="001859AF" w:rsidRPr="00990244" w:rsidRDefault="001859AF" w:rsidP="001859AF">
            <w:pPr>
              <w:spacing w:line="480" w:lineRule="auto"/>
              <w:ind w:firstLine="720"/>
              <w:contextualSpacing/>
              <w:rPr>
                <w:rFonts w:ascii="Times New Roman" w:hAnsi="Times New Roman" w:cs="Times New Roman"/>
              </w:rPr>
            </w:pPr>
            <w:r w:rsidRPr="00990244">
              <w:rPr>
                <w:rFonts w:ascii="Times New Roman" w:hAnsi="Times New Roman" w:cs="Times New Roman"/>
              </w:rPr>
              <w:t xml:space="preserve">Make digital citizens. Cyberbullying is objective in the world. It is crucial to inform children that these same principles use in and out </w:t>
            </w:r>
            <w:r w:rsidRPr="00990244">
              <w:rPr>
                <w:rFonts w:ascii="Times New Roman" w:hAnsi="Times New Roman" w:cs="Times New Roman"/>
              </w:rPr>
              <w:lastRenderedPageBreak/>
              <w:t xml:space="preserve">of the digital world. Clearly teach students how to remain cyber secure and savvy. CSRIU (the centre for good and Responsible Internet usage) offers some free handouts tailored by grade point to teach students how to stay good online. Microsoft still offers a free education system to learn digital citizenship and ethical use of technology. More like principles are taught, digital citizenship can be conveyed through explicit instruction. Increase awareness. Awareness is strong. It alters cultural </w:t>
            </w:r>
            <w:r w:rsidRPr="00990244">
              <w:rPr>
                <w:rFonts w:ascii="Times New Roman" w:hAnsi="Times New Roman" w:cs="Times New Roman"/>
              </w:rPr>
              <w:lastRenderedPageBreak/>
              <w:t xml:space="preserve">perceptions. Rather than make fear around technology usage or spread misunderstandings, awareness allows the positive atmosphere to grow. Place cyberbullying in the spotlight at the classroom. Teach students about the mental and legal complications. Explore topics like engineering hazards, cyber safety, and supportive online communities. Learn about age-appropriate causes of cyberbullying and their determination. Showcase how technology is being used to improve people in the group — </w:t>
            </w:r>
            <w:r w:rsidRPr="00990244">
              <w:rPr>
                <w:rFonts w:ascii="Times New Roman" w:hAnsi="Times New Roman" w:cs="Times New Roman"/>
              </w:rPr>
              <w:lastRenderedPageBreak/>
              <w:t xml:space="preserve">present students how they will utilize technology for this greater good. </w:t>
            </w:r>
          </w:p>
          <w:p w:rsidR="0009379A" w:rsidRPr="005C1F46" w:rsidRDefault="0009379A" w:rsidP="00E37751">
            <w:pPr>
              <w:rPr>
                <w:sz w:val="20"/>
                <w:szCs w:val="20"/>
              </w:rPr>
            </w:pPr>
          </w:p>
        </w:tc>
        <w:tc>
          <w:tcPr>
            <w:tcW w:w="2218" w:type="dxa"/>
            <w:vMerge/>
          </w:tcPr>
          <w:p w:rsidR="0009379A" w:rsidRPr="005C1F46" w:rsidRDefault="0009379A" w:rsidP="00E37751">
            <w:pPr>
              <w:rPr>
                <w:sz w:val="20"/>
                <w:szCs w:val="20"/>
              </w:rPr>
            </w:pPr>
          </w:p>
        </w:tc>
        <w:tc>
          <w:tcPr>
            <w:tcW w:w="2573" w:type="dxa"/>
            <w:vMerge/>
          </w:tcPr>
          <w:p w:rsidR="0009379A" w:rsidRPr="005C1F46" w:rsidRDefault="0009379A" w:rsidP="00E37751">
            <w:pPr>
              <w:rPr>
                <w:sz w:val="20"/>
                <w:szCs w:val="20"/>
              </w:rPr>
            </w:pPr>
          </w:p>
        </w:tc>
      </w:tr>
      <w:tr w:rsidR="0009379A" w:rsidRPr="005C1F46" w:rsidTr="00E37751">
        <w:trPr>
          <w:trHeight w:val="252"/>
        </w:trPr>
        <w:tc>
          <w:tcPr>
            <w:tcW w:w="1985" w:type="dxa"/>
            <w:vMerge w:val="restart"/>
          </w:tcPr>
          <w:p w:rsidR="0009379A" w:rsidRPr="005C1F46" w:rsidRDefault="0009379A" w:rsidP="00E37751">
            <w:pPr>
              <w:rPr>
                <w:sz w:val="18"/>
                <w:szCs w:val="18"/>
              </w:rPr>
            </w:pPr>
            <w:r w:rsidRPr="005C1F46">
              <w:rPr>
                <w:sz w:val="18"/>
                <w:szCs w:val="18"/>
              </w:rPr>
              <w:lastRenderedPageBreak/>
              <w:t>SESSION 5</w:t>
            </w:r>
          </w:p>
          <w:p w:rsidR="0009379A" w:rsidRPr="005C1F46" w:rsidRDefault="0009379A" w:rsidP="00E37751">
            <w:pPr>
              <w:rPr>
                <w:sz w:val="18"/>
                <w:szCs w:val="18"/>
              </w:rPr>
            </w:pPr>
          </w:p>
          <w:p w:rsidR="0009379A" w:rsidRPr="005C1F46" w:rsidRDefault="0009379A" w:rsidP="00E37751">
            <w:pPr>
              <w:rPr>
                <w:sz w:val="18"/>
                <w:szCs w:val="18"/>
              </w:rPr>
            </w:pPr>
          </w:p>
          <w:p w:rsidR="0009379A" w:rsidRPr="005C1F46" w:rsidRDefault="0009379A" w:rsidP="00E37751">
            <w:pPr>
              <w:rPr>
                <w:sz w:val="18"/>
                <w:szCs w:val="18"/>
              </w:rPr>
            </w:pPr>
          </w:p>
          <w:p w:rsidR="0009379A" w:rsidRPr="005C1F46" w:rsidRDefault="0009379A" w:rsidP="00E37751">
            <w:pPr>
              <w:rPr>
                <w:sz w:val="18"/>
                <w:szCs w:val="18"/>
              </w:rPr>
            </w:pPr>
          </w:p>
        </w:tc>
        <w:tc>
          <w:tcPr>
            <w:tcW w:w="3542" w:type="dxa"/>
            <w:vMerge w:val="restart"/>
          </w:tcPr>
          <w:p w:rsidR="0009379A" w:rsidRPr="005C1F46" w:rsidRDefault="001859AF" w:rsidP="00E37751">
            <w:pPr>
              <w:rPr>
                <w:sz w:val="20"/>
                <w:szCs w:val="20"/>
              </w:rPr>
            </w:pPr>
            <w:r w:rsidRPr="00990244">
              <w:rPr>
                <w:rFonts w:ascii="Times New Roman" w:hAnsi="Times New Roman" w:cs="Times New Roman"/>
              </w:rPr>
              <w:t>When designing appraisal chances applying the inquiry-based teaching way, educators should take these following constructs fro</w:t>
            </w:r>
            <w:r>
              <w:rPr>
                <w:rFonts w:ascii="Times New Roman" w:hAnsi="Times New Roman" w:cs="Times New Roman"/>
              </w:rPr>
              <w:t>m developing individual</w:t>
            </w:r>
            <w:r w:rsidRPr="00990244">
              <w:rPr>
                <w:rFonts w:ascii="Times New Roman" w:hAnsi="Times New Roman" w:cs="Times New Roman"/>
              </w:rPr>
              <w:t xml:space="preserve"> preparation: Judgment should be planned at the same time as instruction, and it sho</w:t>
            </w:r>
            <w:r>
              <w:rPr>
                <w:rFonts w:ascii="Times New Roman" w:hAnsi="Times New Roman" w:cs="Times New Roman"/>
              </w:rPr>
              <w:t>uld be integrated seamlessly</w:t>
            </w:r>
            <w:r w:rsidRPr="00990244">
              <w:rPr>
                <w:rFonts w:ascii="Times New Roman" w:hAnsi="Times New Roman" w:cs="Times New Roman"/>
              </w:rPr>
              <w:t xml:space="preserve"> criteria: Established criteria for assessment and evaluation should be shared with students or co-constructed with students prior to learning. Students' job should be cited for classification and evaluation purposes to established standards, rather than by comparing with the job done by different students</w:t>
            </w:r>
          </w:p>
        </w:tc>
        <w:tc>
          <w:tcPr>
            <w:tcW w:w="4963" w:type="dxa"/>
          </w:tcPr>
          <w:p w:rsidR="0009379A" w:rsidRDefault="0009379A" w:rsidP="00E37751">
            <w:pPr>
              <w:rPr>
                <w:sz w:val="20"/>
                <w:szCs w:val="20"/>
              </w:rPr>
            </w:pPr>
          </w:p>
          <w:p w:rsidR="0009379A" w:rsidRDefault="0009379A" w:rsidP="00E37751">
            <w:pPr>
              <w:rPr>
                <w:sz w:val="20"/>
                <w:szCs w:val="20"/>
              </w:rPr>
            </w:pPr>
          </w:p>
          <w:p w:rsidR="0009379A" w:rsidRPr="005C1F46" w:rsidRDefault="0009379A" w:rsidP="00E37751">
            <w:pPr>
              <w:rPr>
                <w:sz w:val="20"/>
                <w:szCs w:val="20"/>
              </w:rPr>
            </w:pPr>
          </w:p>
        </w:tc>
        <w:tc>
          <w:tcPr>
            <w:tcW w:w="2218" w:type="dxa"/>
            <w:vMerge w:val="restart"/>
          </w:tcPr>
          <w:p w:rsidR="001859AF" w:rsidRPr="00990244" w:rsidRDefault="001859AF" w:rsidP="001859AF">
            <w:pPr>
              <w:spacing w:line="480" w:lineRule="auto"/>
              <w:ind w:firstLine="720"/>
              <w:contextualSpacing/>
              <w:rPr>
                <w:rFonts w:ascii="Times New Roman" w:hAnsi="Times New Roman" w:cs="Times New Roman"/>
              </w:rPr>
            </w:pPr>
            <w:r w:rsidRPr="00990244">
              <w:rPr>
                <w:rFonts w:ascii="Times New Roman" w:hAnsi="Times New Roman" w:cs="Times New Roman"/>
              </w:rPr>
              <w:t xml:space="preserve">These important areas are expected to include the growth of resources (structure and digital knowledge), business development (ICT </w:t>
            </w:r>
            <w:r w:rsidRPr="00990244">
              <w:rPr>
                <w:rFonts w:ascii="Times New Roman" w:hAnsi="Times New Roman" w:cs="Times New Roman"/>
              </w:rPr>
              <w:lastRenderedPageBreak/>
              <w:t xml:space="preserve">use and education), and program improvement (ICT capability and ICT use in subjects). The developing function of ICT for government is distinct information. Ofsted describes great ICT </w:t>
            </w:r>
            <w:r w:rsidRPr="00990244">
              <w:rPr>
                <w:rFonts w:ascii="Times New Roman" w:hAnsi="Times New Roman" w:cs="Times New Roman"/>
              </w:rPr>
              <w:lastRenderedPageBreak/>
              <w:t>development programs as people who `` get the strategic view of developments in staff expertise, resources, and schedule and try to correct these. ''</w:t>
            </w:r>
          </w:p>
          <w:p w:rsidR="001859AF" w:rsidRPr="00990244" w:rsidRDefault="001859AF" w:rsidP="001859AF">
            <w:pPr>
              <w:spacing w:line="480" w:lineRule="auto"/>
              <w:ind w:firstLine="720"/>
              <w:contextualSpacing/>
              <w:rPr>
                <w:rFonts w:ascii="Times New Roman" w:hAnsi="Times New Roman" w:cs="Times New Roman"/>
              </w:rPr>
            </w:pPr>
          </w:p>
          <w:p w:rsidR="0009379A" w:rsidRPr="005C1F46" w:rsidRDefault="0009379A" w:rsidP="00E37751">
            <w:pPr>
              <w:rPr>
                <w:sz w:val="20"/>
                <w:szCs w:val="20"/>
              </w:rPr>
            </w:pPr>
          </w:p>
        </w:tc>
        <w:tc>
          <w:tcPr>
            <w:tcW w:w="2573" w:type="dxa"/>
            <w:vMerge w:val="restart"/>
          </w:tcPr>
          <w:p w:rsidR="0009379A" w:rsidRPr="005C1F46" w:rsidRDefault="0009379A" w:rsidP="00E37751">
            <w:pPr>
              <w:rPr>
                <w:sz w:val="20"/>
                <w:szCs w:val="20"/>
              </w:rPr>
            </w:pPr>
          </w:p>
        </w:tc>
      </w:tr>
      <w:tr w:rsidR="0009379A" w:rsidRPr="005C1F46" w:rsidTr="00E37751">
        <w:trPr>
          <w:trHeight w:val="251"/>
        </w:trPr>
        <w:tc>
          <w:tcPr>
            <w:tcW w:w="1985" w:type="dxa"/>
            <w:vMerge/>
          </w:tcPr>
          <w:p w:rsidR="0009379A" w:rsidRPr="005C1F46" w:rsidRDefault="0009379A" w:rsidP="00E37751">
            <w:pPr>
              <w:rPr>
                <w:sz w:val="18"/>
                <w:szCs w:val="18"/>
              </w:rPr>
            </w:pPr>
          </w:p>
        </w:tc>
        <w:tc>
          <w:tcPr>
            <w:tcW w:w="3542" w:type="dxa"/>
            <w:vMerge/>
          </w:tcPr>
          <w:p w:rsidR="0009379A" w:rsidRPr="005C1F46" w:rsidRDefault="0009379A" w:rsidP="00E37751">
            <w:pPr>
              <w:rPr>
                <w:sz w:val="20"/>
                <w:szCs w:val="20"/>
              </w:rPr>
            </w:pPr>
          </w:p>
        </w:tc>
        <w:tc>
          <w:tcPr>
            <w:tcW w:w="4963" w:type="dxa"/>
            <w:shd w:val="clear" w:color="auto" w:fill="D6E3BC" w:themeFill="accent3" w:themeFillTint="66"/>
          </w:tcPr>
          <w:p w:rsidR="0009379A" w:rsidRPr="005C1F46" w:rsidRDefault="0009379A" w:rsidP="00E37751">
            <w:pPr>
              <w:rPr>
                <w:sz w:val="20"/>
                <w:szCs w:val="20"/>
              </w:rPr>
            </w:pPr>
            <w:r w:rsidRPr="005C1F46">
              <w:rPr>
                <w:b/>
                <w:sz w:val="20"/>
                <w:szCs w:val="20"/>
              </w:rPr>
              <w:t>Strategies for differentiation</w:t>
            </w:r>
          </w:p>
        </w:tc>
        <w:tc>
          <w:tcPr>
            <w:tcW w:w="2218" w:type="dxa"/>
            <w:vMerge/>
          </w:tcPr>
          <w:p w:rsidR="0009379A" w:rsidRPr="005C1F46" w:rsidRDefault="0009379A" w:rsidP="00E37751">
            <w:pPr>
              <w:rPr>
                <w:sz w:val="20"/>
                <w:szCs w:val="20"/>
              </w:rPr>
            </w:pPr>
          </w:p>
        </w:tc>
        <w:tc>
          <w:tcPr>
            <w:tcW w:w="2573" w:type="dxa"/>
            <w:vMerge/>
          </w:tcPr>
          <w:p w:rsidR="0009379A" w:rsidRPr="005C1F46" w:rsidRDefault="0009379A" w:rsidP="00E37751">
            <w:pPr>
              <w:rPr>
                <w:sz w:val="20"/>
                <w:szCs w:val="20"/>
              </w:rPr>
            </w:pPr>
          </w:p>
        </w:tc>
      </w:tr>
      <w:tr w:rsidR="0009379A" w:rsidRPr="005C1F46" w:rsidTr="00E37751">
        <w:trPr>
          <w:trHeight w:val="251"/>
        </w:trPr>
        <w:tc>
          <w:tcPr>
            <w:tcW w:w="1985" w:type="dxa"/>
            <w:vMerge/>
          </w:tcPr>
          <w:p w:rsidR="0009379A" w:rsidRPr="005C1F46" w:rsidRDefault="0009379A" w:rsidP="00E37751">
            <w:pPr>
              <w:rPr>
                <w:sz w:val="18"/>
                <w:szCs w:val="18"/>
              </w:rPr>
            </w:pPr>
          </w:p>
        </w:tc>
        <w:tc>
          <w:tcPr>
            <w:tcW w:w="3542" w:type="dxa"/>
            <w:vMerge/>
          </w:tcPr>
          <w:p w:rsidR="0009379A" w:rsidRPr="005C1F46" w:rsidRDefault="0009379A" w:rsidP="00E37751">
            <w:pPr>
              <w:rPr>
                <w:sz w:val="20"/>
                <w:szCs w:val="20"/>
              </w:rPr>
            </w:pPr>
          </w:p>
        </w:tc>
        <w:tc>
          <w:tcPr>
            <w:tcW w:w="4963" w:type="dxa"/>
          </w:tcPr>
          <w:p w:rsidR="0009379A" w:rsidRDefault="0009379A" w:rsidP="00E37751">
            <w:pPr>
              <w:rPr>
                <w:sz w:val="20"/>
                <w:szCs w:val="20"/>
              </w:rPr>
            </w:pPr>
          </w:p>
          <w:p w:rsidR="001859AF" w:rsidRPr="00990244" w:rsidRDefault="001859AF" w:rsidP="001859AF">
            <w:pPr>
              <w:spacing w:line="480" w:lineRule="auto"/>
              <w:ind w:firstLine="720"/>
              <w:contextualSpacing/>
              <w:rPr>
                <w:rFonts w:ascii="Times New Roman" w:hAnsi="Times New Roman" w:cs="Times New Roman"/>
              </w:rPr>
            </w:pPr>
            <w:r w:rsidRPr="00990244">
              <w:rPr>
                <w:rFonts w:ascii="Times New Roman" w:hAnsi="Times New Roman" w:cs="Times New Roman"/>
              </w:rPr>
              <w:t>Learning for ability with digital technologies introd</w:t>
            </w:r>
            <w:r>
              <w:rPr>
                <w:rFonts w:ascii="Times New Roman" w:hAnsi="Times New Roman" w:cs="Times New Roman"/>
              </w:rPr>
              <w:t>uces challenges at two fields</w:t>
            </w:r>
            <w:r w:rsidRPr="00990244">
              <w:rPr>
                <w:rFonts w:ascii="Times New Roman" w:hAnsi="Times New Roman" w:cs="Times New Roman"/>
              </w:rPr>
              <w:t xml:space="preserve"> “the usage of ICT to aid ability in conventional contexts, e.g., schools, and the growth of ICT resources to support innovation in new learning environments for creative activity and collaboration. Within these more usual contexts </w:t>
            </w:r>
            <w:r w:rsidRPr="00990244">
              <w:rPr>
                <w:rFonts w:ascii="Times New Roman" w:hAnsi="Times New Roman" w:cs="Times New Roman"/>
              </w:rPr>
              <w:lastRenderedPageBreak/>
              <w:t xml:space="preserve">of schools and classrooms, simulations of access to ICT resources should manifest features of creative </w:t>
            </w:r>
            <w:r>
              <w:rPr>
                <w:rFonts w:ascii="Times New Roman" w:hAnsi="Times New Roman" w:cs="Times New Roman"/>
              </w:rPr>
              <w:t xml:space="preserve">(Bryman, </w:t>
            </w:r>
            <w:r w:rsidRPr="00990244">
              <w:rPr>
                <w:rFonts w:ascii="Times New Roman" w:hAnsi="Times New Roman" w:cs="Times New Roman"/>
              </w:rPr>
              <w:t>2016). </w:t>
            </w:r>
          </w:p>
          <w:p w:rsidR="0009379A" w:rsidRPr="005C1F46" w:rsidRDefault="0009379A" w:rsidP="00E37751">
            <w:pPr>
              <w:rPr>
                <w:sz w:val="20"/>
                <w:szCs w:val="20"/>
              </w:rPr>
            </w:pPr>
          </w:p>
        </w:tc>
        <w:tc>
          <w:tcPr>
            <w:tcW w:w="2218" w:type="dxa"/>
            <w:vMerge/>
          </w:tcPr>
          <w:p w:rsidR="0009379A" w:rsidRPr="005C1F46" w:rsidRDefault="0009379A" w:rsidP="00E37751">
            <w:pPr>
              <w:rPr>
                <w:sz w:val="20"/>
                <w:szCs w:val="20"/>
              </w:rPr>
            </w:pPr>
          </w:p>
        </w:tc>
        <w:tc>
          <w:tcPr>
            <w:tcW w:w="2573" w:type="dxa"/>
            <w:vMerge/>
          </w:tcPr>
          <w:p w:rsidR="0009379A" w:rsidRPr="005C1F46" w:rsidRDefault="0009379A" w:rsidP="00E37751">
            <w:pPr>
              <w:rPr>
                <w:sz w:val="20"/>
                <w:szCs w:val="20"/>
              </w:rPr>
            </w:pPr>
          </w:p>
        </w:tc>
      </w:tr>
      <w:tr w:rsidR="0009379A" w:rsidRPr="005C1F46" w:rsidTr="00E37751">
        <w:trPr>
          <w:trHeight w:val="1200"/>
        </w:trPr>
        <w:tc>
          <w:tcPr>
            <w:tcW w:w="15281" w:type="dxa"/>
            <w:gridSpan w:val="5"/>
          </w:tcPr>
          <w:p w:rsidR="0009379A" w:rsidRPr="005C1F46" w:rsidRDefault="0009379A" w:rsidP="00E37751">
            <w:pPr>
              <w:rPr>
                <w:sz w:val="18"/>
                <w:szCs w:val="18"/>
              </w:rPr>
            </w:pPr>
            <w:r w:rsidRPr="005C1F46">
              <w:rPr>
                <w:sz w:val="18"/>
                <w:szCs w:val="18"/>
              </w:rPr>
              <w:lastRenderedPageBreak/>
              <w:t>REFERENCES</w:t>
            </w:r>
          </w:p>
          <w:p w:rsidR="0009379A" w:rsidRDefault="0009379A" w:rsidP="00E37751">
            <w:pPr>
              <w:rPr>
                <w:sz w:val="18"/>
                <w:szCs w:val="18"/>
              </w:rPr>
            </w:pPr>
          </w:p>
          <w:p w:rsidR="0009379A" w:rsidRPr="005C1F46" w:rsidRDefault="0009379A" w:rsidP="00E37751">
            <w:pPr>
              <w:rPr>
                <w:sz w:val="20"/>
                <w:szCs w:val="20"/>
              </w:rPr>
            </w:pPr>
          </w:p>
          <w:p w:rsidR="001859AF" w:rsidRDefault="001859AF" w:rsidP="001859AF">
            <w:pPr>
              <w:spacing w:line="480" w:lineRule="auto"/>
              <w:ind w:left="720" w:hanging="720"/>
              <w:contextualSpacing/>
              <w:rPr>
                <w:rFonts w:ascii="Times New Roman" w:hAnsi="Times New Roman" w:cs="Times New Roman"/>
              </w:rPr>
            </w:pPr>
            <w:r w:rsidRPr="00F65938">
              <w:rPr>
                <w:rFonts w:ascii="Times New Roman" w:hAnsi="Times New Roman" w:cs="Times New Roman"/>
              </w:rPr>
              <w:t>Bartlett, S., &amp; Burton, D. (2016). </w:t>
            </w:r>
            <w:r w:rsidRPr="00F65938">
              <w:rPr>
                <w:rFonts w:ascii="Times New Roman" w:hAnsi="Times New Roman" w:cs="Times New Roman"/>
                <w:i/>
                <w:iCs/>
              </w:rPr>
              <w:t>Introduction to education studies</w:t>
            </w:r>
            <w:r w:rsidRPr="00F65938">
              <w:rPr>
                <w:rFonts w:ascii="Times New Roman" w:hAnsi="Times New Roman" w:cs="Times New Roman"/>
              </w:rPr>
              <w:t>. Sage.</w:t>
            </w:r>
          </w:p>
          <w:p w:rsidR="001859AF" w:rsidRDefault="001859AF" w:rsidP="001859AF">
            <w:pPr>
              <w:spacing w:line="480" w:lineRule="auto"/>
              <w:ind w:left="720" w:hanging="720"/>
              <w:contextualSpacing/>
              <w:rPr>
                <w:rFonts w:ascii="Times New Roman" w:hAnsi="Times New Roman" w:cs="Times New Roman"/>
              </w:rPr>
            </w:pPr>
            <w:r w:rsidRPr="00990244">
              <w:rPr>
                <w:rFonts w:ascii="Times New Roman" w:hAnsi="Times New Roman" w:cs="Times New Roman"/>
              </w:rPr>
              <w:t xml:space="preserve">Battistoni, R. M., (2017). </w:t>
            </w:r>
            <w:r w:rsidRPr="00990244">
              <w:rPr>
                <w:rFonts w:ascii="Times New Roman" w:hAnsi="Times New Roman" w:cs="Times New Roman"/>
                <w:i/>
                <w:iCs/>
              </w:rPr>
              <w:t>Civic engagement across the curriculum: A resource book for service-learning faculty in all disciplines</w:t>
            </w:r>
            <w:r w:rsidRPr="00990244">
              <w:rPr>
                <w:rFonts w:ascii="Times New Roman" w:hAnsi="Times New Roman" w:cs="Times New Roman"/>
              </w:rPr>
              <w:t>. Stylus Publishing, LLC.</w:t>
            </w:r>
          </w:p>
          <w:p w:rsidR="001859AF" w:rsidRDefault="001859AF" w:rsidP="001859AF">
            <w:pPr>
              <w:spacing w:line="480" w:lineRule="auto"/>
              <w:ind w:left="720" w:hanging="720"/>
              <w:contextualSpacing/>
              <w:rPr>
                <w:rFonts w:ascii="Times New Roman" w:hAnsi="Times New Roman" w:cs="Times New Roman"/>
              </w:rPr>
            </w:pPr>
            <w:r w:rsidRPr="00011B98">
              <w:rPr>
                <w:rFonts w:ascii="Times New Roman" w:hAnsi="Times New Roman" w:cs="Times New Roman"/>
              </w:rPr>
              <w:t>Bowen, H. R., &amp; Fincher, C. (2018). Goals: The intended outcomes of higher education. In </w:t>
            </w:r>
            <w:r w:rsidRPr="00011B98">
              <w:rPr>
                <w:rFonts w:ascii="Times New Roman" w:hAnsi="Times New Roman" w:cs="Times New Roman"/>
                <w:i/>
                <w:iCs/>
              </w:rPr>
              <w:t>Investment in learning</w:t>
            </w:r>
            <w:r w:rsidRPr="00011B98">
              <w:rPr>
                <w:rFonts w:ascii="Times New Roman" w:hAnsi="Times New Roman" w:cs="Times New Roman"/>
              </w:rPr>
              <w:t> (pp. 31-60). Routledge.</w:t>
            </w:r>
          </w:p>
          <w:p w:rsidR="001859AF" w:rsidRDefault="001859AF" w:rsidP="001859AF">
            <w:pPr>
              <w:spacing w:line="480" w:lineRule="auto"/>
              <w:ind w:left="720" w:hanging="720"/>
              <w:contextualSpacing/>
              <w:rPr>
                <w:rFonts w:ascii="Times New Roman" w:hAnsi="Times New Roman" w:cs="Times New Roman"/>
              </w:rPr>
            </w:pPr>
            <w:r w:rsidRPr="00990244">
              <w:rPr>
                <w:rFonts w:ascii="Times New Roman" w:hAnsi="Times New Roman" w:cs="Times New Roman"/>
              </w:rPr>
              <w:t>Brophy, J., Alleman, J., &amp; Halvorsen, A. L. (2016). </w:t>
            </w:r>
            <w:r w:rsidRPr="00990244">
              <w:rPr>
                <w:rFonts w:ascii="Times New Roman" w:hAnsi="Times New Roman" w:cs="Times New Roman"/>
                <w:i/>
                <w:iCs/>
              </w:rPr>
              <w:t>Powerful social studies for elementary students</w:t>
            </w:r>
            <w:r w:rsidRPr="00990244">
              <w:rPr>
                <w:rFonts w:ascii="Times New Roman" w:hAnsi="Times New Roman" w:cs="Times New Roman"/>
              </w:rPr>
              <w:t>. Cengage Learning.</w:t>
            </w:r>
          </w:p>
          <w:p w:rsidR="001859AF" w:rsidRDefault="001859AF" w:rsidP="001859AF">
            <w:pPr>
              <w:spacing w:line="480" w:lineRule="auto"/>
              <w:ind w:left="720" w:hanging="720"/>
              <w:contextualSpacing/>
              <w:rPr>
                <w:rFonts w:ascii="Times New Roman" w:hAnsi="Times New Roman" w:cs="Times New Roman"/>
              </w:rPr>
            </w:pPr>
            <w:r w:rsidRPr="00990244">
              <w:rPr>
                <w:rFonts w:ascii="Times New Roman" w:hAnsi="Times New Roman" w:cs="Times New Roman"/>
              </w:rPr>
              <w:t xml:space="preserve">Bryman, A., (2016). </w:t>
            </w:r>
            <w:r w:rsidRPr="00990244">
              <w:rPr>
                <w:rFonts w:ascii="Times New Roman" w:hAnsi="Times New Roman" w:cs="Times New Roman"/>
                <w:i/>
                <w:iCs/>
              </w:rPr>
              <w:t>Social research methods</w:t>
            </w:r>
            <w:r w:rsidRPr="00990244">
              <w:rPr>
                <w:rFonts w:ascii="Times New Roman" w:hAnsi="Times New Roman" w:cs="Times New Roman"/>
              </w:rPr>
              <w:t>. Oxford university press.</w:t>
            </w:r>
          </w:p>
          <w:p w:rsidR="001859AF" w:rsidRDefault="001859AF" w:rsidP="001859AF">
            <w:pPr>
              <w:spacing w:line="480" w:lineRule="auto"/>
              <w:ind w:left="720" w:hanging="720"/>
              <w:contextualSpacing/>
              <w:rPr>
                <w:rFonts w:ascii="Times New Roman" w:hAnsi="Times New Roman" w:cs="Times New Roman"/>
              </w:rPr>
            </w:pPr>
            <w:r w:rsidRPr="00011B98">
              <w:rPr>
                <w:rFonts w:ascii="Times New Roman" w:hAnsi="Times New Roman" w:cs="Times New Roman"/>
              </w:rPr>
              <w:t xml:space="preserve">Burbules, N., (2019). </w:t>
            </w:r>
            <w:r w:rsidRPr="00011B98">
              <w:rPr>
                <w:rFonts w:ascii="Times New Roman" w:hAnsi="Times New Roman" w:cs="Times New Roman"/>
                <w:i/>
                <w:iCs/>
              </w:rPr>
              <w:t>Teaching and its predicaments</w:t>
            </w:r>
            <w:r w:rsidRPr="00011B98">
              <w:rPr>
                <w:rFonts w:ascii="Times New Roman" w:hAnsi="Times New Roman" w:cs="Times New Roman"/>
              </w:rPr>
              <w:t>. Routledge.</w:t>
            </w:r>
          </w:p>
          <w:p w:rsidR="001859AF" w:rsidRDefault="001859AF" w:rsidP="001859AF">
            <w:pPr>
              <w:spacing w:line="480" w:lineRule="auto"/>
              <w:ind w:left="720" w:hanging="720"/>
              <w:contextualSpacing/>
              <w:rPr>
                <w:rFonts w:ascii="Times New Roman" w:hAnsi="Times New Roman" w:cs="Times New Roman"/>
              </w:rPr>
            </w:pPr>
            <w:r w:rsidRPr="00011B98">
              <w:rPr>
                <w:rFonts w:ascii="Times New Roman" w:hAnsi="Times New Roman" w:cs="Times New Roman"/>
              </w:rPr>
              <w:t>Farris, P. J., &amp; Werderich, D. E. (2019). </w:t>
            </w:r>
            <w:r w:rsidRPr="00011B98">
              <w:rPr>
                <w:rFonts w:ascii="Times New Roman" w:hAnsi="Times New Roman" w:cs="Times New Roman"/>
                <w:i/>
                <w:iCs/>
              </w:rPr>
              <w:t>Language Arts: Process, Product, and Assessment for Diverse Classrooms</w:t>
            </w:r>
            <w:r w:rsidRPr="00011B98">
              <w:rPr>
                <w:rFonts w:ascii="Times New Roman" w:hAnsi="Times New Roman" w:cs="Times New Roman"/>
              </w:rPr>
              <w:t>. Waveland Press.</w:t>
            </w:r>
          </w:p>
          <w:p w:rsidR="001859AF" w:rsidRDefault="001859AF" w:rsidP="001859AF">
            <w:pPr>
              <w:spacing w:line="480" w:lineRule="auto"/>
              <w:ind w:left="720" w:hanging="720"/>
              <w:contextualSpacing/>
              <w:rPr>
                <w:rFonts w:ascii="Times New Roman" w:hAnsi="Times New Roman" w:cs="Times New Roman"/>
              </w:rPr>
            </w:pPr>
            <w:r w:rsidRPr="00F65938">
              <w:rPr>
                <w:rFonts w:ascii="Times New Roman" w:hAnsi="Times New Roman" w:cs="Times New Roman"/>
              </w:rPr>
              <w:t>Garmston, R. J., &amp; Wellman, B. M. (2016). </w:t>
            </w:r>
            <w:r w:rsidRPr="00F65938">
              <w:rPr>
                <w:rFonts w:ascii="Times New Roman" w:hAnsi="Times New Roman" w:cs="Times New Roman"/>
                <w:i/>
                <w:iCs/>
              </w:rPr>
              <w:t>The adaptive school: A sourcebook for developing collaborative groups</w:t>
            </w:r>
            <w:r w:rsidRPr="00F65938">
              <w:rPr>
                <w:rFonts w:ascii="Times New Roman" w:hAnsi="Times New Roman" w:cs="Times New Roman"/>
              </w:rPr>
              <w:t>. Rowman &amp; Littlefield.</w:t>
            </w:r>
          </w:p>
          <w:p w:rsidR="001859AF" w:rsidRDefault="001859AF" w:rsidP="001859AF">
            <w:pPr>
              <w:spacing w:line="480" w:lineRule="auto"/>
              <w:ind w:left="720" w:hanging="720"/>
              <w:contextualSpacing/>
              <w:rPr>
                <w:rFonts w:ascii="Times New Roman" w:hAnsi="Times New Roman" w:cs="Times New Roman"/>
              </w:rPr>
            </w:pPr>
            <w:r w:rsidRPr="00990244">
              <w:rPr>
                <w:rFonts w:ascii="Times New Roman" w:hAnsi="Times New Roman" w:cs="Times New Roman"/>
              </w:rPr>
              <w:t>Reimers, F. M., &amp; Chung, C. K. (Eds.). (2019). </w:t>
            </w:r>
            <w:r w:rsidRPr="00990244">
              <w:rPr>
                <w:rFonts w:ascii="Times New Roman" w:hAnsi="Times New Roman" w:cs="Times New Roman"/>
                <w:i/>
                <w:iCs/>
              </w:rPr>
              <w:t>Teaching and learning for the twenty-first century: Educational goals, policies, and curricula from six nations</w:t>
            </w:r>
            <w:r w:rsidRPr="00990244">
              <w:rPr>
                <w:rFonts w:ascii="Times New Roman" w:hAnsi="Times New Roman" w:cs="Times New Roman"/>
              </w:rPr>
              <w:t>. Harvard Education Press.</w:t>
            </w:r>
          </w:p>
          <w:p w:rsidR="001859AF" w:rsidRPr="00730615" w:rsidRDefault="001859AF" w:rsidP="001859AF">
            <w:pPr>
              <w:spacing w:line="480" w:lineRule="auto"/>
              <w:ind w:left="720" w:hanging="720"/>
              <w:contextualSpacing/>
              <w:rPr>
                <w:rFonts w:ascii="Times New Roman" w:hAnsi="Times New Roman" w:cs="Times New Roman"/>
              </w:rPr>
            </w:pPr>
            <w:r w:rsidRPr="00011B98">
              <w:rPr>
                <w:rFonts w:ascii="Times New Roman" w:hAnsi="Times New Roman" w:cs="Times New Roman"/>
              </w:rPr>
              <w:lastRenderedPageBreak/>
              <w:t xml:space="preserve">Schulte, T., (2017). </w:t>
            </w:r>
            <w:r w:rsidRPr="00011B98">
              <w:rPr>
                <w:rFonts w:ascii="Times New Roman" w:hAnsi="Times New Roman" w:cs="Times New Roman"/>
                <w:i/>
                <w:iCs/>
              </w:rPr>
              <w:t>Desirable science education: findings from a curricular Delphi study on scientific literacy in Germany</w:t>
            </w:r>
            <w:r w:rsidRPr="00011B98">
              <w:rPr>
                <w:rFonts w:ascii="Times New Roman" w:hAnsi="Times New Roman" w:cs="Times New Roman"/>
              </w:rPr>
              <w:t>. Springer.</w:t>
            </w:r>
          </w:p>
          <w:p w:rsidR="001859AF" w:rsidRDefault="001859AF" w:rsidP="001859AF">
            <w:pPr>
              <w:spacing w:line="480" w:lineRule="auto"/>
              <w:ind w:left="720" w:hanging="720"/>
              <w:contextualSpacing/>
              <w:rPr>
                <w:rFonts w:ascii="Times New Roman" w:hAnsi="Times New Roman" w:cs="Times New Roman"/>
              </w:rPr>
            </w:pPr>
            <w:r w:rsidRPr="00011B98">
              <w:rPr>
                <w:rFonts w:ascii="Times New Roman" w:hAnsi="Times New Roman" w:cs="Times New Roman"/>
              </w:rPr>
              <w:t>Strong, W. E. (2018). A Grounded Case Study of Parental Perceptions Surrounding Formalized Special Education Processes.</w:t>
            </w:r>
          </w:p>
          <w:p w:rsidR="0009379A" w:rsidRPr="005C1F46" w:rsidRDefault="0009379A" w:rsidP="00E37751">
            <w:pPr>
              <w:rPr>
                <w:sz w:val="20"/>
                <w:szCs w:val="20"/>
              </w:rPr>
            </w:pPr>
          </w:p>
          <w:p w:rsidR="0009379A" w:rsidRPr="005C1F46" w:rsidRDefault="0009379A" w:rsidP="00E37751">
            <w:pPr>
              <w:rPr>
                <w:sz w:val="20"/>
                <w:szCs w:val="20"/>
              </w:rPr>
            </w:pPr>
          </w:p>
          <w:p w:rsidR="0009379A" w:rsidRPr="005C1F46" w:rsidRDefault="0009379A" w:rsidP="00E37751">
            <w:pPr>
              <w:rPr>
                <w:sz w:val="20"/>
                <w:szCs w:val="20"/>
              </w:rPr>
            </w:pPr>
          </w:p>
        </w:tc>
      </w:tr>
    </w:tbl>
    <w:p w:rsidR="0009379A" w:rsidRDefault="0009379A" w:rsidP="0009379A">
      <w:pPr>
        <w:tabs>
          <w:tab w:val="left" w:pos="2815"/>
        </w:tabs>
        <w:rPr>
          <w:rFonts w:ascii="Times New Roman"/>
          <w:sz w:val="20"/>
        </w:rPr>
      </w:pPr>
    </w:p>
    <w:p w:rsidR="0009379A" w:rsidRDefault="0009379A">
      <w:pPr>
        <w:rPr>
          <w:rFonts w:ascii="Times New Roman"/>
          <w:sz w:val="20"/>
        </w:rPr>
      </w:pPr>
      <w:r>
        <w:rPr>
          <w:rFonts w:ascii="Times New Roman"/>
          <w:sz w:val="20"/>
        </w:rPr>
        <w:br w:type="page"/>
      </w:r>
    </w:p>
    <w:p w:rsidR="0009379A" w:rsidRPr="0047766B" w:rsidRDefault="0009379A" w:rsidP="0009379A">
      <w:pPr>
        <w:tabs>
          <w:tab w:val="left" w:pos="2815"/>
        </w:tabs>
        <w:rPr>
          <w:rFonts w:ascii="Times New Roman"/>
          <w:b/>
          <w:sz w:val="20"/>
        </w:rPr>
      </w:pPr>
      <w:r w:rsidRPr="0047766B">
        <w:rPr>
          <w:rFonts w:ascii="Times New Roman"/>
          <w:b/>
          <w:sz w:val="20"/>
        </w:rPr>
        <w:lastRenderedPageBreak/>
        <w:t>Assignment Details</w:t>
      </w:r>
    </w:p>
    <w:p w:rsidR="0009379A" w:rsidRDefault="0009379A" w:rsidP="0009379A">
      <w:pPr>
        <w:tabs>
          <w:tab w:val="left" w:pos="2815"/>
        </w:tabs>
        <w:rPr>
          <w:rFonts w:ascii="Times New Roman"/>
          <w:sz w:val="20"/>
        </w:rPr>
      </w:pPr>
    </w:p>
    <w:p w:rsidR="0047766B" w:rsidRDefault="0009379A">
      <w:pPr>
        <w:rPr>
          <w:rFonts w:ascii="Times New Roman"/>
          <w:sz w:val="20"/>
        </w:rPr>
      </w:pPr>
      <w:r w:rsidRPr="0009379A">
        <w:rPr>
          <w:rFonts w:ascii="Times New Roman"/>
          <w:sz w:val="20"/>
        </w:rPr>
        <w:t xml:space="preserve">Inquiry-Based Lesson Sequence (2,500 </w:t>
      </w:r>
      <w:r w:rsidRPr="0009379A">
        <w:rPr>
          <w:rFonts w:ascii="Times New Roman"/>
          <w:sz w:val="20"/>
        </w:rPr>
        <w:t>–</w:t>
      </w:r>
      <w:r w:rsidRPr="0009379A">
        <w:rPr>
          <w:rFonts w:ascii="Times New Roman"/>
          <w:sz w:val="20"/>
        </w:rPr>
        <w:t xml:space="preserve"> 3,000 words or equiv.) </w:t>
      </w:r>
    </w:p>
    <w:p w:rsidR="0047766B" w:rsidRPr="0047766B" w:rsidRDefault="0047766B" w:rsidP="0047766B">
      <w:pPr>
        <w:rPr>
          <w:rFonts w:ascii="Times New Roman"/>
          <w:sz w:val="20"/>
        </w:rPr>
      </w:pPr>
    </w:p>
    <w:p w:rsidR="0047766B" w:rsidRPr="0047766B" w:rsidRDefault="0047766B" w:rsidP="0047766B">
      <w:pPr>
        <w:rPr>
          <w:rFonts w:ascii="Times New Roman"/>
          <w:sz w:val="20"/>
        </w:rPr>
      </w:pPr>
    </w:p>
    <w:p w:rsidR="0047766B" w:rsidRDefault="0047766B" w:rsidP="0047766B">
      <w:pPr>
        <w:rPr>
          <w:rFonts w:ascii="Times New Roman"/>
          <w:sz w:val="20"/>
        </w:rPr>
      </w:pPr>
      <w:r w:rsidRPr="0047766B">
        <w:rPr>
          <w:rFonts w:ascii="Times New Roman"/>
          <w:b/>
          <w:sz w:val="20"/>
        </w:rPr>
        <w:t>Assessment criteria:</w:t>
      </w:r>
    </w:p>
    <w:p w:rsidR="0047766B" w:rsidRDefault="0047766B" w:rsidP="0047766B">
      <w:pPr>
        <w:rPr>
          <w:rFonts w:ascii="Times New Roman"/>
          <w:sz w:val="20"/>
        </w:rPr>
      </w:pPr>
      <w:r w:rsidRPr="0047766B">
        <w:rPr>
          <w:rFonts w:ascii="Times New Roman"/>
          <w:sz w:val="20"/>
        </w:rPr>
        <w:t xml:space="preserve">1. Demonstrated knowledge of curriculum content and processes in the Humanities </w:t>
      </w:r>
    </w:p>
    <w:p w:rsidR="0047766B" w:rsidRDefault="0047766B" w:rsidP="0047766B">
      <w:pPr>
        <w:rPr>
          <w:rFonts w:ascii="Times New Roman"/>
          <w:sz w:val="20"/>
        </w:rPr>
      </w:pPr>
      <w:r w:rsidRPr="0047766B">
        <w:rPr>
          <w:rFonts w:ascii="Times New Roman"/>
          <w:sz w:val="20"/>
        </w:rPr>
        <w:t xml:space="preserve">2. Effective use of research-based literature and curriculum framework to support the rationale for the focus, content, resources and pedagogical processes used in the lesson sequence </w:t>
      </w:r>
    </w:p>
    <w:p w:rsidR="0047766B" w:rsidRDefault="0047766B" w:rsidP="0047766B">
      <w:pPr>
        <w:rPr>
          <w:rFonts w:ascii="Times New Roman"/>
          <w:sz w:val="20"/>
        </w:rPr>
      </w:pPr>
      <w:r w:rsidRPr="0047766B">
        <w:rPr>
          <w:rFonts w:ascii="Times New Roman"/>
          <w:sz w:val="20"/>
        </w:rPr>
        <w:t>3. Capacity to plan a logical sequence of lessons underpinned by Inquiry-based pedagogical and assessment strategies</w:t>
      </w:r>
    </w:p>
    <w:p w:rsidR="0047766B" w:rsidRDefault="0047766B" w:rsidP="0047766B">
      <w:pPr>
        <w:rPr>
          <w:rFonts w:ascii="Times New Roman"/>
          <w:sz w:val="20"/>
        </w:rPr>
      </w:pPr>
      <w:r w:rsidRPr="0047766B">
        <w:rPr>
          <w:rFonts w:ascii="Times New Roman"/>
          <w:sz w:val="20"/>
        </w:rPr>
        <w:t>4. Explicit consideration of safe, responsible and ethical use of all resources and supports, including ICTs and Digital Technologies</w:t>
      </w:r>
      <w:r>
        <w:rPr>
          <w:rFonts w:ascii="Times New Roman"/>
          <w:sz w:val="20"/>
        </w:rPr>
        <w:t>.</w:t>
      </w:r>
    </w:p>
    <w:p w:rsidR="0047766B" w:rsidRDefault="0047766B" w:rsidP="0047766B">
      <w:pPr>
        <w:rPr>
          <w:rFonts w:ascii="Times New Roman"/>
          <w:sz w:val="20"/>
        </w:rPr>
      </w:pPr>
      <w:r w:rsidRPr="0047766B">
        <w:rPr>
          <w:rFonts w:ascii="Times New Roman"/>
          <w:sz w:val="20"/>
        </w:rPr>
        <w:t xml:space="preserve">5. Engaging, professional and clear presentation of the assignment including appropriate citation and referencing ofsources. </w:t>
      </w:r>
    </w:p>
    <w:p w:rsidR="0047766B" w:rsidRDefault="0047766B" w:rsidP="0047766B">
      <w:pPr>
        <w:rPr>
          <w:rFonts w:ascii="Times New Roman"/>
          <w:sz w:val="20"/>
        </w:rPr>
      </w:pPr>
    </w:p>
    <w:p w:rsidR="0047766B" w:rsidRDefault="0047766B" w:rsidP="0047766B">
      <w:pPr>
        <w:rPr>
          <w:rFonts w:ascii="Times New Roman"/>
          <w:b/>
          <w:sz w:val="20"/>
        </w:rPr>
      </w:pPr>
      <w:r w:rsidRPr="0047766B">
        <w:rPr>
          <w:rFonts w:ascii="Times New Roman"/>
          <w:b/>
          <w:sz w:val="20"/>
        </w:rPr>
        <w:t>Description of Task</w:t>
      </w:r>
    </w:p>
    <w:p w:rsidR="0047766B" w:rsidRPr="0047766B" w:rsidRDefault="0047766B" w:rsidP="0047766B">
      <w:pPr>
        <w:rPr>
          <w:rFonts w:ascii="Times New Roman"/>
          <w:b/>
          <w:sz w:val="20"/>
        </w:rPr>
      </w:pPr>
    </w:p>
    <w:p w:rsidR="0047766B" w:rsidRDefault="0047766B" w:rsidP="0047766B">
      <w:pPr>
        <w:rPr>
          <w:rFonts w:ascii="Times New Roman"/>
          <w:sz w:val="20"/>
        </w:rPr>
      </w:pPr>
      <w:r w:rsidRPr="0047766B">
        <w:rPr>
          <w:rFonts w:ascii="Times New Roman"/>
          <w:sz w:val="20"/>
        </w:rPr>
        <w:t xml:space="preserve">For this assignment, students are required to plan a detailed Inquiry-based Lesson Sequence for a primary-level Humanities class. </w:t>
      </w:r>
    </w:p>
    <w:p w:rsidR="0047766B" w:rsidRPr="0047766B" w:rsidRDefault="0047766B" w:rsidP="0047766B">
      <w:pPr>
        <w:rPr>
          <w:rFonts w:ascii="Times New Roman"/>
          <w:sz w:val="20"/>
        </w:rPr>
      </w:pPr>
      <w:r w:rsidRPr="0047766B">
        <w:rPr>
          <w:rFonts w:ascii="Times New Roman"/>
          <w:sz w:val="20"/>
        </w:rPr>
        <w:t xml:space="preserve">The Lesson Sequence is to show the development of a Humanities teaching, learning and assessment sequence and resources to meet the outcomes of the selected curriculum (Victorian Curriculum F-10 or Australian Curriculum). </w:t>
      </w:r>
    </w:p>
    <w:p w:rsidR="0047766B" w:rsidRPr="0047766B" w:rsidRDefault="0047766B" w:rsidP="0047766B">
      <w:pPr>
        <w:rPr>
          <w:rFonts w:ascii="Times New Roman"/>
          <w:sz w:val="20"/>
        </w:rPr>
      </w:pPr>
    </w:p>
    <w:p w:rsidR="0047766B" w:rsidRPr="0047766B" w:rsidRDefault="0047766B" w:rsidP="0047766B">
      <w:pPr>
        <w:rPr>
          <w:rFonts w:ascii="Times New Roman"/>
          <w:sz w:val="20"/>
        </w:rPr>
      </w:pPr>
    </w:p>
    <w:p w:rsidR="0047766B" w:rsidRPr="0047766B" w:rsidRDefault="0047766B" w:rsidP="0047766B">
      <w:pPr>
        <w:rPr>
          <w:rFonts w:ascii="Times New Roman"/>
          <w:sz w:val="20"/>
        </w:rPr>
      </w:pPr>
      <w:r w:rsidRPr="0047766B">
        <w:rPr>
          <w:rFonts w:ascii="Times New Roman"/>
          <w:sz w:val="20"/>
        </w:rPr>
        <w:t xml:space="preserve">The Lesson Sequence is to be designed as five (x 60-minute) lessons that investigate a </w:t>
      </w:r>
      <w:r w:rsidRPr="0047766B">
        <w:rPr>
          <w:rFonts w:ascii="Times New Roman"/>
          <w:sz w:val="20"/>
        </w:rPr>
        <w:t>‘</w:t>
      </w:r>
      <w:r w:rsidRPr="0047766B">
        <w:rPr>
          <w:rFonts w:ascii="Times New Roman"/>
          <w:sz w:val="20"/>
        </w:rPr>
        <w:t>big picture</w:t>
      </w:r>
      <w:r w:rsidRPr="0047766B">
        <w:rPr>
          <w:rFonts w:ascii="Times New Roman"/>
          <w:sz w:val="20"/>
        </w:rPr>
        <w:t>’</w:t>
      </w:r>
      <w:r w:rsidRPr="0047766B">
        <w:rPr>
          <w:rFonts w:ascii="Times New Roman"/>
          <w:sz w:val="20"/>
        </w:rPr>
        <w:t xml:space="preserve"> question and use a range of well- scaffolded teaching strategies. Embedded into the Lesson Sequence is to be at least one of the three cross-curricular priorities. </w:t>
      </w:r>
    </w:p>
    <w:p w:rsidR="0047766B" w:rsidRPr="0047766B" w:rsidRDefault="0047766B" w:rsidP="0047766B">
      <w:pPr>
        <w:rPr>
          <w:rFonts w:ascii="Times New Roman"/>
          <w:sz w:val="20"/>
        </w:rPr>
      </w:pPr>
    </w:p>
    <w:p w:rsidR="0047766B" w:rsidRPr="0047766B" w:rsidRDefault="0047766B" w:rsidP="0047766B">
      <w:pPr>
        <w:rPr>
          <w:rFonts w:ascii="Times New Roman"/>
          <w:sz w:val="20"/>
        </w:rPr>
      </w:pPr>
    </w:p>
    <w:p w:rsidR="0047766B" w:rsidRPr="0047766B" w:rsidRDefault="0047766B" w:rsidP="0047766B">
      <w:pPr>
        <w:rPr>
          <w:rFonts w:ascii="Times New Roman"/>
          <w:sz w:val="20"/>
        </w:rPr>
      </w:pPr>
      <w:r w:rsidRPr="0047766B">
        <w:rPr>
          <w:rFonts w:ascii="Times New Roman"/>
          <w:sz w:val="20"/>
        </w:rPr>
        <w:t xml:space="preserve">Planning guidelines and models will be discussed in lectures, tutorials and available on LMS. Students should develop the sequence using an inquiry-based pedagogical framework (based on class work) that addresses the identified curriculum goals. </w:t>
      </w:r>
    </w:p>
    <w:p w:rsidR="0047766B" w:rsidRPr="0047766B" w:rsidRDefault="0047766B" w:rsidP="0047766B">
      <w:pPr>
        <w:rPr>
          <w:rFonts w:ascii="Times New Roman"/>
          <w:sz w:val="20"/>
        </w:rPr>
      </w:pPr>
    </w:p>
    <w:p w:rsidR="0047766B" w:rsidRPr="0047766B" w:rsidRDefault="0047766B" w:rsidP="0047766B">
      <w:pPr>
        <w:rPr>
          <w:rFonts w:ascii="Times New Roman"/>
          <w:sz w:val="20"/>
        </w:rPr>
      </w:pPr>
    </w:p>
    <w:p w:rsidR="0047766B" w:rsidRPr="0047766B" w:rsidRDefault="0047766B" w:rsidP="0047766B">
      <w:pPr>
        <w:rPr>
          <w:rFonts w:ascii="Times New Roman"/>
          <w:sz w:val="20"/>
        </w:rPr>
      </w:pPr>
      <w:r w:rsidRPr="0047766B">
        <w:rPr>
          <w:rFonts w:ascii="Times New Roman"/>
          <w:sz w:val="20"/>
        </w:rPr>
        <w:t xml:space="preserve">The Inquiry questions, resources, teaching, learning and assessment activities should be designed/selected for age appropriateness and using the guidelines of the selected curriculum. </w:t>
      </w:r>
    </w:p>
    <w:p w:rsidR="0047766B" w:rsidRPr="0047766B" w:rsidRDefault="0047766B" w:rsidP="0047766B">
      <w:pPr>
        <w:rPr>
          <w:rFonts w:ascii="Times New Roman"/>
          <w:sz w:val="20"/>
        </w:rPr>
      </w:pPr>
    </w:p>
    <w:p w:rsidR="0047766B" w:rsidRPr="0047766B" w:rsidRDefault="0047766B" w:rsidP="0047766B">
      <w:pPr>
        <w:rPr>
          <w:rFonts w:ascii="Times New Roman"/>
          <w:sz w:val="20"/>
        </w:rPr>
      </w:pPr>
    </w:p>
    <w:p w:rsidR="0047766B" w:rsidRDefault="0047766B" w:rsidP="0047766B">
      <w:pPr>
        <w:rPr>
          <w:rFonts w:ascii="Times New Roman"/>
          <w:sz w:val="20"/>
        </w:rPr>
      </w:pPr>
      <w:r w:rsidRPr="0047766B">
        <w:rPr>
          <w:rFonts w:ascii="Times New Roman"/>
          <w:sz w:val="20"/>
        </w:rPr>
        <w:t xml:space="preserve">The Inquiry-Based Lesson Sequence will include: </w:t>
      </w:r>
    </w:p>
    <w:p w:rsidR="0047766B" w:rsidRDefault="0047766B" w:rsidP="0047766B">
      <w:pPr>
        <w:rPr>
          <w:rFonts w:ascii="Times New Roman"/>
          <w:sz w:val="20"/>
        </w:rPr>
      </w:pPr>
      <w:r w:rsidRPr="0047766B">
        <w:rPr>
          <w:rFonts w:ascii="Times New Roman"/>
          <w:sz w:val="20"/>
        </w:rPr>
        <w:t>•</w:t>
      </w:r>
      <w:r w:rsidRPr="0047766B">
        <w:rPr>
          <w:rFonts w:ascii="Times New Roman"/>
          <w:sz w:val="20"/>
        </w:rPr>
        <w:t xml:space="preserve"> The rationale (e.g., Why does this matter from a global citizenship perspective?)</w:t>
      </w:r>
    </w:p>
    <w:p w:rsidR="0047766B" w:rsidRDefault="0047766B" w:rsidP="0047766B">
      <w:pPr>
        <w:rPr>
          <w:rFonts w:ascii="Times New Roman"/>
          <w:sz w:val="20"/>
        </w:rPr>
      </w:pPr>
      <w:r w:rsidRPr="0047766B">
        <w:rPr>
          <w:rFonts w:ascii="Times New Roman"/>
          <w:sz w:val="20"/>
        </w:rPr>
        <w:t>•</w:t>
      </w:r>
      <w:r w:rsidRPr="0047766B">
        <w:rPr>
          <w:rFonts w:ascii="Times New Roman"/>
          <w:sz w:val="20"/>
        </w:rPr>
        <w:t xml:space="preserve"> Curriculum level, domains and intended outcomes of the Lesson Sequence </w:t>
      </w:r>
    </w:p>
    <w:p w:rsidR="0047766B" w:rsidRDefault="0047766B" w:rsidP="0047766B">
      <w:pPr>
        <w:rPr>
          <w:rFonts w:ascii="Times New Roman"/>
          <w:sz w:val="20"/>
        </w:rPr>
      </w:pPr>
      <w:r w:rsidRPr="0047766B">
        <w:rPr>
          <w:rFonts w:ascii="Times New Roman"/>
          <w:sz w:val="20"/>
        </w:rPr>
        <w:t>•</w:t>
      </w:r>
      <w:r w:rsidRPr="0047766B">
        <w:rPr>
          <w:rFonts w:ascii="Times New Roman"/>
          <w:sz w:val="20"/>
        </w:rPr>
        <w:t xml:space="preserve"> Evidence of a planning structure (e.g. 5Es and/or Reynolds Chapter 2)</w:t>
      </w:r>
    </w:p>
    <w:p w:rsidR="0047766B" w:rsidRDefault="0047766B" w:rsidP="0047766B">
      <w:pPr>
        <w:rPr>
          <w:rFonts w:ascii="Times New Roman"/>
          <w:sz w:val="20"/>
        </w:rPr>
      </w:pPr>
      <w:r w:rsidRPr="0047766B">
        <w:rPr>
          <w:rFonts w:ascii="Times New Roman"/>
          <w:sz w:val="20"/>
        </w:rPr>
        <w:t>•</w:t>
      </w:r>
      <w:r w:rsidRPr="0047766B">
        <w:rPr>
          <w:rFonts w:ascii="Times New Roman"/>
          <w:sz w:val="20"/>
        </w:rPr>
        <w:t xml:space="preserve"> Integration of content drawn from History, Geography, Economics and Civics and Citizenship, as appropriate </w:t>
      </w:r>
    </w:p>
    <w:p w:rsidR="0047766B" w:rsidRDefault="0047766B" w:rsidP="0047766B">
      <w:pPr>
        <w:rPr>
          <w:rFonts w:ascii="Times New Roman"/>
          <w:sz w:val="20"/>
        </w:rPr>
      </w:pPr>
      <w:r w:rsidRPr="0047766B">
        <w:rPr>
          <w:rFonts w:ascii="Times New Roman"/>
          <w:sz w:val="20"/>
        </w:rPr>
        <w:t>•</w:t>
      </w:r>
      <w:r w:rsidRPr="0047766B">
        <w:rPr>
          <w:rFonts w:ascii="Times New Roman"/>
          <w:sz w:val="20"/>
        </w:rPr>
        <w:t xml:space="preserve"> Resources that will serve the sequence (e.g., maps, videos, picture books, images, artefacts) </w:t>
      </w:r>
    </w:p>
    <w:p w:rsidR="0047766B" w:rsidRDefault="0047766B" w:rsidP="0047766B">
      <w:pPr>
        <w:rPr>
          <w:rFonts w:ascii="Times New Roman"/>
          <w:sz w:val="20"/>
        </w:rPr>
      </w:pPr>
      <w:r w:rsidRPr="0047766B">
        <w:rPr>
          <w:rFonts w:ascii="Times New Roman"/>
          <w:sz w:val="20"/>
        </w:rPr>
        <w:t>•</w:t>
      </w:r>
      <w:r w:rsidRPr="0047766B">
        <w:rPr>
          <w:rFonts w:ascii="Times New Roman"/>
          <w:sz w:val="20"/>
        </w:rPr>
        <w:t xml:space="preserve"> Examples of teaching and learning activities that align with outcomes and an inquiry-based pedagogical frame </w:t>
      </w:r>
    </w:p>
    <w:p w:rsidR="0047766B" w:rsidRDefault="0047766B" w:rsidP="0047766B">
      <w:pPr>
        <w:rPr>
          <w:rFonts w:ascii="Times New Roman"/>
          <w:sz w:val="20"/>
        </w:rPr>
      </w:pPr>
      <w:r w:rsidRPr="0047766B">
        <w:rPr>
          <w:rFonts w:ascii="Times New Roman"/>
          <w:sz w:val="20"/>
        </w:rPr>
        <w:t>•</w:t>
      </w:r>
      <w:r w:rsidRPr="0047766B">
        <w:rPr>
          <w:rFonts w:ascii="Times New Roman"/>
          <w:sz w:val="20"/>
        </w:rPr>
        <w:t xml:space="preserve"> Reference to suitable excursions/incursions/field trips within the broader teaching, learning and assessment sequence </w:t>
      </w:r>
    </w:p>
    <w:p w:rsidR="0047766B" w:rsidRDefault="0047766B" w:rsidP="0047766B">
      <w:pPr>
        <w:rPr>
          <w:rFonts w:ascii="Times New Roman"/>
          <w:sz w:val="20"/>
        </w:rPr>
      </w:pPr>
      <w:r w:rsidRPr="0047766B">
        <w:rPr>
          <w:rFonts w:ascii="Times New Roman"/>
          <w:sz w:val="20"/>
        </w:rPr>
        <w:t>•</w:t>
      </w:r>
      <w:r w:rsidRPr="0047766B">
        <w:rPr>
          <w:rFonts w:ascii="Times New Roman"/>
          <w:sz w:val="20"/>
        </w:rPr>
        <w:t xml:space="preserve"> A range of assessment styles and opportunities: diagnostic, formative, summative; of, as, for (e.g., How will you know if outcomes have been met?) </w:t>
      </w:r>
    </w:p>
    <w:p w:rsidR="0047766B" w:rsidRDefault="0047766B" w:rsidP="0047766B">
      <w:pPr>
        <w:rPr>
          <w:rFonts w:ascii="Times New Roman"/>
          <w:sz w:val="20"/>
        </w:rPr>
      </w:pPr>
    </w:p>
    <w:p w:rsidR="0009379A" w:rsidRDefault="0047766B" w:rsidP="0047766B">
      <w:pPr>
        <w:rPr>
          <w:rFonts w:ascii="Times New Roman"/>
          <w:sz w:val="20"/>
        </w:rPr>
      </w:pPr>
      <w:r>
        <w:rPr>
          <w:rFonts w:ascii="Times New Roman"/>
          <w:noProof/>
          <w:sz w:val="20"/>
          <w:lang w:bidi="ar-SA"/>
        </w:rPr>
        <w:lastRenderedPageBreak/>
        <w:drawing>
          <wp:inline distT="0" distB="0" distL="0" distR="0">
            <wp:extent cx="6705600" cy="35960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705600" cy="3596005"/>
                    </a:xfrm>
                    <a:prstGeom prst="rect">
                      <a:avLst/>
                    </a:prstGeom>
                  </pic:spPr>
                </pic:pic>
              </a:graphicData>
            </a:graphic>
          </wp:inline>
        </w:drawing>
      </w:r>
      <w:r w:rsidR="0009379A">
        <w:rPr>
          <w:rFonts w:ascii="Times New Roman"/>
          <w:sz w:val="20"/>
        </w:rPr>
        <w:br w:type="page"/>
      </w:r>
    </w:p>
    <w:p w:rsidR="0047766B" w:rsidRDefault="0047766B">
      <w:pPr>
        <w:rPr>
          <w:rFonts w:ascii="Times New Roman"/>
          <w:sz w:val="20"/>
        </w:rPr>
      </w:pPr>
    </w:p>
    <w:p w:rsidR="0009379A" w:rsidRDefault="0009379A">
      <w:pPr>
        <w:rPr>
          <w:rFonts w:ascii="Times New Roman"/>
          <w:sz w:val="20"/>
        </w:rPr>
      </w:pPr>
    </w:p>
    <w:p w:rsidR="00C44084" w:rsidRDefault="0047766B">
      <w:pPr>
        <w:rPr>
          <w:sz w:val="20"/>
        </w:rPr>
      </w:pPr>
      <w:r>
        <w:rPr>
          <w:noProof/>
          <w:sz w:val="20"/>
          <w:lang w:bidi="ar-SA"/>
        </w:rPr>
        <w:drawing>
          <wp:inline distT="0" distB="0" distL="0" distR="0">
            <wp:extent cx="6705600" cy="1714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705600" cy="1714500"/>
                    </a:xfrm>
                    <a:prstGeom prst="rect">
                      <a:avLst/>
                    </a:prstGeom>
                  </pic:spPr>
                </pic:pic>
              </a:graphicData>
            </a:graphic>
          </wp:inline>
        </w:drawing>
      </w:r>
    </w:p>
    <w:p w:rsidR="00C44084" w:rsidRDefault="00C44084">
      <w:pPr>
        <w:rPr>
          <w:sz w:val="20"/>
        </w:rPr>
      </w:pPr>
    </w:p>
    <w:p w:rsidR="00C44084" w:rsidRDefault="00C44084">
      <w:pPr>
        <w:rPr>
          <w:sz w:val="20"/>
        </w:rPr>
      </w:pPr>
    </w:p>
    <w:p w:rsidR="00C44084" w:rsidRDefault="00C44084">
      <w:pPr>
        <w:rPr>
          <w:sz w:val="20"/>
        </w:rPr>
      </w:pPr>
    </w:p>
    <w:p w:rsidR="00C44084" w:rsidRDefault="00C44084">
      <w:pPr>
        <w:pStyle w:val="BodyText"/>
        <w:spacing w:line="508" w:lineRule="auto"/>
        <w:ind w:left="273" w:right="270"/>
        <w:jc w:val="center"/>
      </w:pPr>
      <w:bookmarkStart w:id="0" w:name="_GoBack"/>
      <w:bookmarkEnd w:id="0"/>
    </w:p>
    <w:sectPr w:rsidR="00C44084" w:rsidSect="0009379A">
      <w:footerReference w:type="default" r:id="rId10"/>
      <w:pgSz w:w="12000" w:h="8000" w:orient="landscape"/>
      <w:pgMar w:top="720" w:right="720" w:bottom="720" w:left="720"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723" w:rsidRDefault="00915723">
      <w:r>
        <w:separator/>
      </w:r>
    </w:p>
  </w:endnote>
  <w:endnote w:type="continuationSeparator" w:id="1">
    <w:p w:rsidR="00915723" w:rsidRDefault="009157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84" w:rsidRDefault="003850D2">
    <w:pPr>
      <w:pStyle w:val="BodyText"/>
      <w:spacing w:line="14" w:lineRule="auto"/>
      <w:rPr>
        <w:sz w:val="20"/>
      </w:rPr>
    </w:pPr>
    <w:r w:rsidRPr="003850D2">
      <w:pict>
        <v:shapetype id="_x0000_t202" coordsize="21600,21600" o:spt="202" path="m,l,21600r21600,l21600,xe">
          <v:stroke joinstyle="miter"/>
          <v:path gradientshapeok="t" o:connecttype="rect"/>
        </v:shapetype>
        <v:shape id="_x0000_s1025" type="#_x0000_t202" style="position:absolute;margin-left:777.75pt;margin-top:544.7pt;width:8.4pt;height:11.75pt;z-index:-251658752;mso-position-horizontal-relative:page;mso-position-vertical-relative:page" filled="f" stroked="f">
          <v:textbox inset="0,0,0,0">
            <w:txbxContent>
              <w:p w:rsidR="00C44084" w:rsidRDefault="003850D2">
                <w:pPr>
                  <w:spacing w:before="18"/>
                  <w:ind w:left="40"/>
                  <w:rPr>
                    <w:rFonts w:ascii="Century Gothic"/>
                    <w:sz w:val="16"/>
                  </w:rPr>
                </w:pPr>
                <w:r>
                  <w:fldChar w:fldCharType="begin"/>
                </w:r>
                <w:r w:rsidR="0047766B">
                  <w:rPr>
                    <w:rFonts w:ascii="Century Gothic"/>
                    <w:w w:val="99"/>
                    <w:sz w:val="16"/>
                  </w:rPr>
                  <w:instrText xml:space="preserve"> PAGE </w:instrText>
                </w:r>
                <w:r>
                  <w:fldChar w:fldCharType="separate"/>
                </w:r>
                <w:r w:rsidR="001859AF">
                  <w:rPr>
                    <w:rFonts w:ascii="Century Gothic"/>
                    <w:noProof/>
                    <w:w w:val="99"/>
                    <w:sz w:val="16"/>
                  </w:rPr>
                  <w:t>4</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84" w:rsidRDefault="00C44084">
    <w:pPr>
      <w:pStyle w:val="BodyText"/>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723" w:rsidRDefault="00915723">
      <w:r>
        <w:separator/>
      </w:r>
    </w:p>
  </w:footnote>
  <w:footnote w:type="continuationSeparator" w:id="1">
    <w:p w:rsidR="00915723" w:rsidRDefault="009157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666E58"/>
    <w:multiLevelType w:val="hybridMultilevel"/>
    <w:tmpl w:val="0AB642BC"/>
    <w:lvl w:ilvl="0" w:tplc="8130A322">
      <w:numFmt w:val="bullet"/>
      <w:lvlText w:val=""/>
      <w:lvlJc w:val="left"/>
      <w:pPr>
        <w:ind w:left="830" w:hanging="360"/>
      </w:pPr>
      <w:rPr>
        <w:rFonts w:ascii="Symbol" w:eastAsia="Symbol" w:hAnsi="Symbol" w:cs="Symbol" w:hint="default"/>
        <w:color w:val="FF0000"/>
        <w:w w:val="100"/>
        <w:sz w:val="20"/>
        <w:szCs w:val="20"/>
        <w:lang w:val="en-US" w:eastAsia="en-US" w:bidi="en-US"/>
      </w:rPr>
    </w:lvl>
    <w:lvl w:ilvl="1" w:tplc="DD8282EE">
      <w:numFmt w:val="bullet"/>
      <w:lvlText w:val="•"/>
      <w:lvlJc w:val="left"/>
      <w:pPr>
        <w:ind w:left="2215" w:hanging="360"/>
      </w:pPr>
      <w:rPr>
        <w:rFonts w:hint="default"/>
        <w:lang w:val="en-US" w:eastAsia="en-US" w:bidi="en-US"/>
      </w:rPr>
    </w:lvl>
    <w:lvl w:ilvl="2" w:tplc="651A2566">
      <w:numFmt w:val="bullet"/>
      <w:lvlText w:val="•"/>
      <w:lvlJc w:val="left"/>
      <w:pPr>
        <w:ind w:left="3590" w:hanging="360"/>
      </w:pPr>
      <w:rPr>
        <w:rFonts w:hint="default"/>
        <w:lang w:val="en-US" w:eastAsia="en-US" w:bidi="en-US"/>
      </w:rPr>
    </w:lvl>
    <w:lvl w:ilvl="3" w:tplc="217838F6">
      <w:numFmt w:val="bullet"/>
      <w:lvlText w:val="•"/>
      <w:lvlJc w:val="left"/>
      <w:pPr>
        <w:ind w:left="4965" w:hanging="360"/>
      </w:pPr>
      <w:rPr>
        <w:rFonts w:hint="default"/>
        <w:lang w:val="en-US" w:eastAsia="en-US" w:bidi="en-US"/>
      </w:rPr>
    </w:lvl>
    <w:lvl w:ilvl="4" w:tplc="8A1CDDF0">
      <w:numFmt w:val="bullet"/>
      <w:lvlText w:val="•"/>
      <w:lvlJc w:val="left"/>
      <w:pPr>
        <w:ind w:left="6340" w:hanging="360"/>
      </w:pPr>
      <w:rPr>
        <w:rFonts w:hint="default"/>
        <w:lang w:val="en-US" w:eastAsia="en-US" w:bidi="en-US"/>
      </w:rPr>
    </w:lvl>
    <w:lvl w:ilvl="5" w:tplc="F31CFBAE">
      <w:numFmt w:val="bullet"/>
      <w:lvlText w:val="•"/>
      <w:lvlJc w:val="left"/>
      <w:pPr>
        <w:ind w:left="7715" w:hanging="360"/>
      </w:pPr>
      <w:rPr>
        <w:rFonts w:hint="default"/>
        <w:lang w:val="en-US" w:eastAsia="en-US" w:bidi="en-US"/>
      </w:rPr>
    </w:lvl>
    <w:lvl w:ilvl="6" w:tplc="F83465DA">
      <w:numFmt w:val="bullet"/>
      <w:lvlText w:val="•"/>
      <w:lvlJc w:val="left"/>
      <w:pPr>
        <w:ind w:left="9090" w:hanging="360"/>
      </w:pPr>
      <w:rPr>
        <w:rFonts w:hint="default"/>
        <w:lang w:val="en-US" w:eastAsia="en-US" w:bidi="en-US"/>
      </w:rPr>
    </w:lvl>
    <w:lvl w:ilvl="7" w:tplc="F926CCB6">
      <w:numFmt w:val="bullet"/>
      <w:lvlText w:val="•"/>
      <w:lvlJc w:val="left"/>
      <w:pPr>
        <w:ind w:left="10465" w:hanging="360"/>
      </w:pPr>
      <w:rPr>
        <w:rFonts w:hint="default"/>
        <w:lang w:val="en-US" w:eastAsia="en-US" w:bidi="en-US"/>
      </w:rPr>
    </w:lvl>
    <w:lvl w:ilvl="8" w:tplc="01461C84">
      <w:numFmt w:val="bullet"/>
      <w:lvlText w:val="•"/>
      <w:lvlJc w:val="left"/>
      <w:pPr>
        <w:ind w:left="11840" w:hanging="360"/>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20"/>
  <w:drawingGridHorizontalSpacing w:val="110"/>
  <w:displayHorizontalDrawingGridEvery w:val="2"/>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ulTrailSpace/>
  </w:compat>
  <w:rsids>
    <w:rsidRoot w:val="00C44084"/>
    <w:rsid w:val="0009379A"/>
    <w:rsid w:val="001859AF"/>
    <w:rsid w:val="003850D2"/>
    <w:rsid w:val="0047766B"/>
    <w:rsid w:val="00915723"/>
    <w:rsid w:val="00C440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0D2"/>
    <w:rPr>
      <w:rFonts w:ascii="Calibri Light" w:eastAsia="Calibri Light" w:hAnsi="Calibri Light" w:cs="Calibri Light"/>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850D2"/>
    <w:rPr>
      <w:rFonts w:ascii="Courier New" w:eastAsia="Courier New" w:hAnsi="Courier New" w:cs="Courier New"/>
      <w:sz w:val="27"/>
      <w:szCs w:val="27"/>
    </w:rPr>
  </w:style>
  <w:style w:type="paragraph" w:styleId="ListParagraph">
    <w:name w:val="List Paragraph"/>
    <w:basedOn w:val="Normal"/>
    <w:uiPriority w:val="1"/>
    <w:qFormat/>
    <w:rsid w:val="003850D2"/>
  </w:style>
  <w:style w:type="paragraph" w:customStyle="1" w:styleId="TableParagraph">
    <w:name w:val="Table Paragraph"/>
    <w:basedOn w:val="Normal"/>
    <w:uiPriority w:val="1"/>
    <w:qFormat/>
    <w:rsid w:val="003850D2"/>
    <w:pPr>
      <w:ind w:left="110"/>
    </w:pPr>
  </w:style>
  <w:style w:type="table" w:styleId="TableGrid">
    <w:name w:val="Table Grid"/>
    <w:basedOn w:val="TableNormal"/>
    <w:uiPriority w:val="39"/>
    <w:rsid w:val="0009379A"/>
    <w:pPr>
      <w:widowControl/>
      <w:autoSpaceDE/>
      <w:autoSpaceDN/>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776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66B"/>
    <w:rPr>
      <w:rFonts w:ascii="Segoe UI" w:eastAsia="Calibri Light" w:hAnsi="Segoe UI" w:cs="Segoe UI"/>
      <w:sz w:val="18"/>
      <w:szCs w:val="18"/>
      <w:lang w:bidi="en-US"/>
    </w:rPr>
  </w:style>
  <w:style w:type="paragraph" w:styleId="Header">
    <w:name w:val="header"/>
    <w:basedOn w:val="Normal"/>
    <w:link w:val="HeaderChar"/>
    <w:uiPriority w:val="99"/>
    <w:unhideWhenUsed/>
    <w:rsid w:val="0047766B"/>
    <w:pPr>
      <w:tabs>
        <w:tab w:val="center" w:pos="4513"/>
        <w:tab w:val="right" w:pos="9026"/>
      </w:tabs>
    </w:pPr>
  </w:style>
  <w:style w:type="character" w:customStyle="1" w:styleId="HeaderChar">
    <w:name w:val="Header Char"/>
    <w:basedOn w:val="DefaultParagraphFont"/>
    <w:link w:val="Header"/>
    <w:uiPriority w:val="99"/>
    <w:rsid w:val="0047766B"/>
    <w:rPr>
      <w:rFonts w:ascii="Calibri Light" w:eastAsia="Calibri Light" w:hAnsi="Calibri Light" w:cs="Calibri Light"/>
      <w:lang w:bidi="en-US"/>
    </w:rPr>
  </w:style>
  <w:style w:type="paragraph" w:styleId="Footer">
    <w:name w:val="footer"/>
    <w:basedOn w:val="Normal"/>
    <w:link w:val="FooterChar"/>
    <w:uiPriority w:val="99"/>
    <w:unhideWhenUsed/>
    <w:rsid w:val="0047766B"/>
    <w:pPr>
      <w:tabs>
        <w:tab w:val="center" w:pos="4513"/>
        <w:tab w:val="right" w:pos="9026"/>
      </w:tabs>
    </w:pPr>
  </w:style>
  <w:style w:type="character" w:customStyle="1" w:styleId="FooterChar">
    <w:name w:val="Footer Char"/>
    <w:basedOn w:val="DefaultParagraphFont"/>
    <w:link w:val="Footer"/>
    <w:uiPriority w:val="99"/>
    <w:rsid w:val="0047766B"/>
    <w:rPr>
      <w:rFonts w:ascii="Calibri Light" w:eastAsia="Calibri Light" w:hAnsi="Calibri Light" w:cs="Calibri Light"/>
      <w:lang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26</Pages>
  <Words>3810</Words>
  <Characters>21721</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3</cp:revision>
  <dcterms:created xsi:type="dcterms:W3CDTF">2019-05-28T00:01:00Z</dcterms:created>
  <dcterms:modified xsi:type="dcterms:W3CDTF">2019-06-06T14:55:00Z</dcterms:modified>
</cp:coreProperties>
</file>